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3.png" ContentType="image/png"/>
  <Override PartName="/word/media/rId37.png" ContentType="image/png"/>
  <Override PartName="/word/media/rId82.png" ContentType="image/png"/>
  <Override PartName="/word/media/rId56.png" ContentType="image/png"/>
  <Override PartName="/word/media/rId27.png" ContentType="image/png"/>
  <Override PartName="/word/media/rId69.jpg" ContentType="image/jpeg"/>
  <Override PartName="/word/media/rId52.png" ContentType="image/png"/>
  <Override PartName="/word/media/rId65.png" ContentType="image/png"/>
  <Override PartName="/word/media/rId61.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September</w:t>
      </w:r>
      <w:r>
        <w:t xml:space="preserve"> </w:t>
      </w:r>
      <w:r>
        <w:t xml:space="preserve">25,</w:t>
      </w:r>
      <w:r>
        <w:t xml:space="preserve"> </w:t>
      </w:r>
      <w:r>
        <w:t xml:space="preserve">2025</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Cs/>
          <w:i/>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At present,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In addition,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We introduce a novel modification of the spherical harmonics method to distinguish the morphological variability of flaked pieces, enabling us to differentiate between spheroids and multifacial cores or polyhedrons. To our knowledge, this is the first attempt of its kind in the field of archaeology.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in a case study of spheroids recovered from the recently excavated site of Qianshangying in the Nihewan Basin of Northern China. In the following sections, we assess whether the Qianshangying spheroids exhibit a patterned production process and standardized morphology. If these can be demonstrated, the conceptual template and specialized production intention can be supported. We adopt a comparative approach, comparing spheroids with polyhedrons and multifacial cores. Our comparative study serves two purposes: first, to test whether spheroids follow a distinct production sequence, and second, to explore the potential, beyond typological approaches, of using quantitative methods to distinguish spheroids from cores subjected to intensive reduction.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ook w:firstRow="0" w:lastRow="0" w:firstColumn="0" w:lastColumn="0" w:noHBand="0" w:noVBand="0" w:val="0000"/>
        <w:jc w:val="start"/>
        <w:tblLayout w:type="fixed"/>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Z. Ye et al., 2025; Ye et al.,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Cs/>
          <w:i/>
        </w:rPr>
        <w:t xml:space="preserve">in situ</w:t>
      </w:r>
      <w:r>
        <w:t xml:space="preserve">, exhibiting minimal disturbance after deposition</w:t>
      </w:r>
      <w:r>
        <w:t xml:space="preserve"> </w:t>
      </w:r>
      <w:r>
        <w:t xml:space="preserve">(Z. Ye et al., 2025)</w:t>
      </w:r>
      <w:r>
        <w:t xml:space="preserve">. ESR dating of the cultural layer places hominin activity at approximately 429 ± 39 ka</w:t>
      </w:r>
      <w:r>
        <w:t xml:space="preserve"> </w:t>
      </w:r>
      <w:r>
        <w:t xml:space="preserve">(Z. Ye et al., 2025)</w:t>
      </w:r>
      <w:r>
        <w:t xml:space="preserve">.</w:t>
      </w:r>
    </w:p>
    <w:p>
      <w:pPr>
        <w:pStyle w:val="BodyText"/>
      </w:pPr>
      <w:r>
        <w:t xml:space="preserve">A total of 956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the assemblage was classified into four general categories: flaked pieces (n = 248, 26.0%), detached pieces (n = 686, 71.8%), pounded pieces (n = 4, 0.4%), and unmodified materials (n = 17, 1.8%). Among these, 6 spheroids and 7 subspheroids were identified; together forming a spheroid group of 13 pieces, accounting for 1.3% of the total lithic assemblage. They are all faceted spheroids with intensive flake scars on the surface. Employing typological criteria to identify spheroids at this stage is not inherently mistaken, as we later validate this classification through quantitative analyses, with the goal of developing new standards.</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subspheroids were 84 mm (SD = 35.9), 69.8 mm (SD = 23.4), 61.2 mm (SD = 21.1), and 644.6 g (SD = 727.5), respectively, as shown in</w:t>
      </w:r>
      <w:r>
        <w:t xml:space="preserve"> </w:t>
      </w:r>
      <w:hyperlink w:anchor="fig-basic-characteristics">
        <w:r>
          <w:rPr>
            <w:rStyle w:val="Hyperlink"/>
          </w:rPr>
          <w:t xml:space="preserve">Fig. 2</w:t>
        </w:r>
      </w:hyperlink>
      <w:r>
        <w:t xml:space="preserve">. Few spheroids showed outlier values in size, being either unusually large or small, while the rest exhibited relatively concentrated size distributions. In contrast, polyhedrons and multifacial cores displayed greater variability in size, with standard deviations of 27.4 mm, 26.1 mm, and 22.1 mm for length, width, and thickness, respectively. Additionally, 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ook w:firstRow="0" w:lastRow="0" w:firstColumn="0" w:lastColumn="0" w:noHBand="0" w:noVBand="0" w:val="0000"/>
        <w:jc w:val="start"/>
        <w:tblLayout w:type="fixed"/>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50"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The 3D scan files and all the R and Python code used in the analyses reported here are openly available online at https://doi.org/10.17605/OSF.IO/CTNE9/</w:t>
      </w:r>
    </w:p>
    <w:bookmarkStart w:id="43" w:name="morphometric-analysis"/>
    <w:p>
      <w:pPr>
        <w:pStyle w:val="Heading2"/>
      </w:pPr>
      <w:r>
        <w:t xml:space="preserve">3.1 Morphometric Analysis</w:t>
      </w:r>
    </w:p>
    <w:p>
      <w:pPr>
        <w:pStyle w:val="FirstParagraph"/>
      </w:pPr>
      <w:r>
        <w:t xml:space="preserve">In our typological study, we used quantitative methods including the sphericity index, 3D spherical harmonics, and spherical harmonic energy (SHE) to show the shape features of spheroids. We also examined the degree of standardization of the spheroids by computing coefficients of variation</w:t>
      </w:r>
      <w:r>
        <w:t xml:space="preserve"> </w:t>
      </w:r>
      <w:r>
        <w:t xml:space="preserve">(Eerkens and Bettinger, 2001; Muller and Clarkson, 2023)</w:t>
      </w:r>
      <w:r>
        <w:t xml:space="preserve"> </w:t>
      </w:r>
      <w:r>
        <w:t xml:space="preserve">of shape proxies. Furthermore, we compared the results of the typological classification and our new morphometric analyses.</w:t>
      </w:r>
    </w:p>
    <w:bookmarkStart w:id="32" w:name="sphericity-index"/>
    <w:p>
      <w:pPr>
        <w:pStyle w:val="Heading3"/>
      </w:pPr>
      <w:r>
        <w:t xml:space="preserve">3.1.1 Sphericity index</w:t>
      </w:r>
    </w:p>
    <w:p>
      <w:pPr>
        <w:pStyle w:val="FirstParagraph"/>
      </w:pPr>
      <w:r>
        <w:t xml:space="preserve">To evaluate the degree to which the artifacts approximate a perfect sphere, we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the following function:</w:t>
      </w:r>
    </w:p>
    <w:p>
      <w:pPr>
        <w:pStyle w:val="BodyText"/>
      </w:pPr>
      <m:oMathPara>
        <m:oMathParaPr>
          <m:jc m:val="center"/>
        </m:oMathParaPr>
        <m:oMath>
          <m:r>
            <m:t>Ψ</m:t>
          </m:r>
          <m:r>
            <m:rPr>
              <m:sty m:val="p"/>
            </m:rPr>
            <m:t>=</m:t>
          </m:r>
          <m:f>
            <m:fPr>
              <m:type m:val="bar"/>
            </m:fPr>
            <m:num>
              <m:sSup>
                <m:e>
                  <m:r>
                    <m:t>π</m:t>
                  </m:r>
                </m:e>
                <m:sup>
                  <m:r>
                    <m:t>1</m:t>
                  </m:r>
                  <m:r>
                    <m:rPr>
                      <m:sty m:val="p"/>
                    </m:rPr>
                    <m:t>/</m:t>
                  </m:r>
                  <m:r>
                    <m:t>3</m:t>
                  </m:r>
                </m:sup>
              </m:sSup>
              <m:sSup>
                <m:e>
                  <m:d>
                    <m:dPr>
                      <m:begChr m:val="("/>
                      <m:endChr m:val=")"/>
                      <m:sepChr m:val=""/>
                      <m:grow/>
                    </m:dPr>
                    <m:e>
                      <m:r>
                        <m:t>6</m:t>
                      </m:r>
                      <m:r>
                        <m:t>V</m:t>
                      </m:r>
                    </m:e>
                  </m:d>
                </m:e>
                <m:sup>
                  <m:r>
                    <m:t>2</m:t>
                  </m:r>
                  <m:r>
                    <m:rPr>
                      <m:sty m:val="p"/>
                    </m:rPr>
                    <m:t>/</m:t>
                  </m:r>
                  <m:r>
                    <m:t>3</m:t>
                  </m:r>
                </m:sup>
              </m:sSup>
            </m:num>
            <m:den>
              <m:r>
                <m:t>A</m:t>
              </m:r>
            </m:den>
          </m:f>
        </m:oMath>
      </m:oMathPara>
    </w:p>
    <w:p>
      <w:pPr>
        <w:pStyle w:val="FirstParagraph"/>
      </w:pPr>
      <w:r>
        <w:t xml:space="preserve">Where V is the volume and A is the surface area of the object. This dimensionless metric yields a maximum value of 1 for a perfect sphere. While values closer to 1 generally indicate a more spherical geometry, sphericity is calculated solely from volume and surface area. As a result, some irregular objects may exhibit high sphericity, while conversely, objects that are generally spherical in shape may deviate from ideal sphericity due to surface roughness. Thus, sphericity serves as a useful but limited proxy for assessing how close an object is to a perfect sphere. We used Python to decimate to a consistent face count from our 3D scan files and conduct a unit normalization to ensure comparability across artifacts, and then derived surface area and volume measurements from these processed 3D mesh models.</w:t>
      </w:r>
    </w:p>
    <w:bookmarkEnd w:id="32"/>
    <w:bookmarkStart w:id="41" w:name="d-spherical-harmonics-analysis"/>
    <w:p>
      <w:pPr>
        <w:pStyle w:val="Heading3"/>
      </w:pPr>
      <w:r>
        <w:t xml:space="preserve">3.1.2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 w:name="fig-SPHARM-Reconstruction-by-Degree"/>
          <w:p>
            <w:pPr>
              <w:pStyle w:val="Compact"/>
              <w:jc w:val="center"/>
            </w:pPr>
            <w:r>
              <w:drawing>
                <wp:inline>
                  <wp:extent cx="5943600" cy="3962865"/>
                  <wp:effectExtent b="0" l="0" r="0" t="0"/>
                  <wp:docPr descr="" title="" id="34" name="Picture"/>
                  <a:graphic>
                    <a:graphicData uri="http://schemas.openxmlformats.org/drawingml/2006/picture">
                      <pic:pic>
                        <pic:nvPicPr>
                          <pic:cNvPr descr="figures/SPHARM_reconstruction.png" id="35" name="Picture"/>
                          <pic:cNvPicPr>
                            <a:picLocks noChangeArrowheads="1" noChangeAspect="1"/>
                          </pic:cNvPicPr>
                        </pic:nvPicPr>
                        <pic:blipFill>
                          <a:blip r:embed="rId33"/>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6"/>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However, there have been very few applications of SPHARM to archaeological artifacts.</w:t>
      </w:r>
      <w:r>
        <w:t xml:space="preserve"> </w:t>
      </w:r>
      <w:r>
        <w:t xml:space="preserve">Sholts et al. (2017)</w:t>
      </w:r>
      <w:r>
        <w:t xml:space="preserve"> </w:t>
      </w:r>
      <w:r>
        <w:t xml:space="preserve">applied SPHARM-PDM to standardize the number and position of vertices across early North American bifaces (ca 13,100–9,000 BP), enabling point-by-point comparison of original and mirrored shapes to assess asymmetry variation, but SPHARM was not directly used to describe stone tool shape.</w:t>
      </w:r>
      <w:r>
        <w:t xml:space="preserve"> </w:t>
      </w:r>
      <w:r>
        <w:t xml:space="preserve">Muller et al. (2023)</w:t>
      </w:r>
      <w:r>
        <w:t xml:space="preserve"> </w:t>
      </w:r>
      <w:r>
        <w:t xml:space="preserve">used closed-source and proprietary Matlab software to investigate intentionality in the production of 150 spheroids from ’Ubeidiya (ca 1.4 Ma) in the Levant.</w:t>
      </w:r>
      <w:r>
        <w:t xml:space="preserve"> </w:t>
      </w:r>
      <w:r>
        <w:t xml:space="preserve">Muller et al. (2023)</w:t>
      </w:r>
      <w:r>
        <w:t xml:space="preserve"> </w:t>
      </w:r>
      <w:r>
        <w:t xml:space="preserve">did not provide code to document their analysis, but they found that lithic reduction resulted in the spheroids becoming more spherical, and concluded that spheroids represent intentionally knapped items.</w:t>
      </w:r>
      <w:r>
        <w:t xml:space="preserve"> </w:t>
      </w:r>
      <w:r>
        <w:t xml:space="preserve">Noshita et al. (2025)</w:t>
      </w:r>
      <w:r>
        <w:t xml:space="preserve"> </w:t>
      </w:r>
      <w:r>
        <w:t xml:space="preserve">used 3D Slicer-SlicerSALT to apply spherical harmonic analysis to Ongagawa-style pottery in the Yayoi period of Japan (800 BC–AD 250). Their results were consistent with the hypothesis of an association of Ongagawa-style pottery with the spread of agriculture via two routes in prehistoric Japan, and they provided code and date files to enable their analysis to be reproduced.</w:t>
      </w:r>
    </w:p>
    <w:p>
      <w:pPr>
        <w:pStyle w:val="BodyText"/>
      </w:pPr>
      <w:r>
        <w:t xml:space="preserve">Our work combines the merits of these previous studies to demonstrate an open-source and reproducible analysis of stone artefacts using SPHARM. We further introduce the use of rotation-invariant power spectrum and UMAP to extract shape features, explore hidden structures in data, and then achieve grouping among spheroids and cores, marking a first in archaeological research while substantially extending the depth of analysis provided by SPHARM. All these steps were completed in Python with the code openly available online at https://osf.io/ctne9/. Our work demonstrates the value of this method for quantitative shape analyses of objects that are roughly spherical in shape, such as the spheroids and cores in our case study from Qianshangying.</w:t>
      </w:r>
    </w:p>
    <w:tbl>
      <w:tblPr>
        <w:tblStyle w:val="Table"/>
        <w:tblW w:type="pct" w:w="5000"/>
        <w:tblLook w:firstRow="0" w:lastRow="0" w:firstColumn="0" w:lastColumn="0" w:noHBand="0" w:noVBand="0" w:val="0000"/>
        <w:jc w:val="start"/>
        <w:tblLayout w:type="fixed"/>
      </w:tblPr>
      <w:tblGrid>
        <w:gridCol w:w="7920"/>
      </w:tblGrid>
      <w:tr>
        <w:tc>
          <w:tcPr/>
          <w:bookmarkStart w:id="40" w:name="fig-SPHARM-steps"/>
          <w:p>
            <w:pPr>
              <w:pStyle w:val="Compact"/>
              <w:jc w:val="center"/>
            </w:pPr>
            <w:r>
              <w:drawing>
                <wp:inline>
                  <wp:extent cx="5943600" cy="4727863"/>
                  <wp:effectExtent b="0" l="0" r="0" t="0"/>
                  <wp:docPr descr="" title="" id="38" name="Picture"/>
                  <a:graphic>
                    <a:graphicData uri="http://schemas.openxmlformats.org/drawingml/2006/picture">
                      <pic:pic>
                        <pic:nvPicPr>
                          <pic:cNvPr descr="figures/SPHARM_steps.png" id="39" name="Picture"/>
                          <pic:cNvPicPr>
                            <a:picLocks noChangeArrowheads="1" noChangeAspect="1"/>
                          </pic:cNvPicPr>
                        </pic:nvPicPr>
                        <pic:blipFill>
                          <a:blip r:embed="rId37"/>
                          <a:stretch>
                            <a:fillRect/>
                          </a:stretch>
                        </pic:blipFill>
                        <pic:spPr bwMode="auto">
                          <a:xfrm>
                            <a:off x="0" y="0"/>
                            <a:ext cx="5943600" cy="472786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See text for more details. a. UMAP on SPHARM power spectrum for the dimensionality reduction and data structure analysis; b. Spherical harmonics energy (SHE) derived from the SPHARM power spectrum to evaluate the similarity between shapes and the perfect sphere</w:t>
            </w:r>
          </w:p>
          <w:bookmarkEnd w:id="40"/>
        </w:tc>
      </w:tr>
    </w:tbl>
    <w:p>
      <w:pPr>
        <w:pStyle w:val="BodyText"/>
      </w:pPr>
      <w:r>
        <w:t xml:space="preserve">As shown in the</w:t>
      </w:r>
      <w:r>
        <w:t xml:space="preserve"> </w:t>
      </w:r>
      <w:hyperlink w:anchor="fig-SPHARM-steps">
        <w:r>
          <w:rPr>
            <w:rStyle w:val="Hyperlink"/>
          </w:rPr>
          <w:t xml:space="preserve">Fig. 4</w:t>
        </w:r>
      </w:hyperlink>
      <w:r>
        <w:t xml:space="preserve">, following the approach by</w:t>
      </w:r>
      <w:r>
        <w:t xml:space="preserve"> </w:t>
      </w:r>
      <w:r>
        <w:t xml:space="preserve">Medyukhina et al. (2020)</w:t>
      </w:r>
      <w:r>
        <w:t xml:space="preserve"> </w:t>
      </w:r>
      <w:r>
        <w:t xml:space="preserve">and</w:t>
      </w:r>
      <w:r>
        <w:t xml:space="preserve"> </w:t>
      </w:r>
      <w:r>
        <w:t xml:space="preserve">Link et al. (2024)</w:t>
      </w:r>
      <w:r>
        <w:t xml:space="preserve">, we first imported, cleaned, simplified and normalized the STL files of spheroids and cores to obtain 3D mesh vertices, which were then converted from Cartesian (x, y, z) to spherical coordinates (r, θ, φ). Next, we interpolated radial values onto a regular spherical grid of N×N and then decomposed them using spherical harmonics based on the Driscoll–Healy sampling scheme</w:t>
      </w:r>
      <w:r>
        <w:t xml:space="preserve"> </w:t>
      </w:r>
      <w:r>
        <w:t xml:space="preserve">(Wieczorek and Meschede, 2018)</w:t>
      </w:r>
      <w:r>
        <w:t xml:space="preserve">. The resulting coefficients were normalized for scale-invariant comparison across models.</w:t>
      </w:r>
    </w:p>
    <w:p>
      <w:pPr>
        <w:pStyle w:val="BodyText"/>
      </w:pPr>
      <w:r>
        <w:t xml:space="preserve">From the normalized spherical harmonic coefficients, we computed the rotation-invariant power spectrum by summing the squared magnitudes of the coefficients at each degree. Each 3D shape is thus represented by its unique power spectrum, which serves as a multidimensional descriptor. To explore relationships between models, we applied a Uniform Manifold Approximation and Projection (UMAP) for dimensionality reduction and visualization</w:t>
      </w:r>
      <w:r>
        <w:t xml:space="preserve"> </w:t>
      </w:r>
      <w:r>
        <w:t xml:space="preserve">(Bavel et al., 2023)</w:t>
      </w:r>
      <w:r>
        <w:t xml:space="preserve">. Unlike traditional linear dimensionality reduction methods such as Principal Component Analysis (PCA), which capture only global linear variance patterns and typically rely on the first few spherical harmonic coefficients, UMAP is a non-linear technique designed to preserve both local and global data structure. Its grouping is based on the local and global similarity of shape data. This makes UMAP particularly well suited for complex shape data represented by spherical harmonic power spectrum, where morphological variations may manifest in subtle, non-linear ways across multiple degrees. By effectively capturing these non-linear relationships, UMAP yields a refined morphospace representation, enabling detection of complex shape differences that linear techniques may overlook.</w:t>
      </w:r>
    </w:p>
    <w:p>
      <w:pPr>
        <w:pStyle w:val="BodyText"/>
      </w:pPr>
      <w:r>
        <w:t xml:space="preserve">To assist in the interpretation of the groupings revealed by UMAP, we included a set of standard geometric models—sphere, rounded cube, ellipsoid (1.2:1:0.8), rounded box (1.2:1:1), and disc-like forms (flattened and discoid core)—in the SPHARM analysis and UMAP embedding as visual references. Spheroids, polyhedrons and multifacial cores were positioned in this morphospace based on their morphological similarity to these reference models: individuals that cluster more closely to a specific standard form exhibit corresponding shape characteristics.</w:t>
      </w:r>
    </w:p>
    <w:bookmarkEnd w:id="41"/>
    <w:bookmarkStart w:id="42" w:name="spherical-harmonic-energy"/>
    <w:p>
      <w:pPr>
        <w:pStyle w:val="Heading3"/>
      </w:pPr>
      <w:r>
        <w:t xml:space="preserve">3.1.3 Spherical Harmonic Energy</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At noted above, classic sphericity metrics</w:t>
      </w:r>
      <w:r>
        <w:t xml:space="preserve"> </w:t>
      </w:r>
      <w:r>
        <w:t xml:space="preserve">(Wadell, 1935)</w:t>
      </w:r>
      <w:r>
        <w:t xml:space="preserve"> </w:t>
      </w:r>
      <w:r>
        <w:t xml:space="preserve">exhibit critical limitations in differentiating morphotypes with equivalent surface-area-to-volume ratios. SHE overcomes this constraint through spherical harmonic decomposition of surface morphology, and this allows it to distinguish localized irregularities (like core edge or concave) from global shape deviations (e.g., elongation)-differences that classic sphericity metrics often fail to capture.</w:t>
      </w:r>
    </w:p>
    <w:p>
      <w:pPr>
        <w:pStyle w:val="BodyText"/>
      </w:pPr>
      <w:r>
        <w:t xml:space="preserve">We computed the total energy at degree 20, a resolution high enough to capture surface details. Lower energy values indicate more regular or rounded surfaces, while higher values reflect more irregular or angular geometries.</w:t>
      </w:r>
    </w:p>
    <w:bookmarkEnd w:id="42"/>
    <w:bookmarkEnd w:id="43"/>
    <w:bookmarkStart w:id="46" w:name="technological-analysis"/>
    <w:p>
      <w:pPr>
        <w:pStyle w:val="Heading2"/>
      </w:pPr>
      <w:r>
        <w:t xml:space="preserve">3.2 Technological Analysis</w:t>
      </w:r>
    </w:p>
    <w:p>
      <w:pPr>
        <w:pStyle w:val="FirstParagraph"/>
      </w:pPr>
      <w:r>
        <w:t xml:space="preserve">We applied technological analysis of the production strategies of spheroids in Qianshangying. Together these methods help determine whether the artifacts were intentionally shaped and whether their manufacture followed standardized procedures. Addressing this question is crucial for achieving our goal of determining whether or not spheroids represent a distinct technological category, separate from exhausted cores.</w:t>
      </w:r>
    </w:p>
    <w:bookmarkStart w:id="44"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w:t>
      </w:r>
      <w:r>
        <w:t xml:space="preserve"> </w:t>
      </w:r>
      <w:r>
        <w:t xml:space="preserve">(Cabanès et al., 2024; Titton et al., 2020)</w:t>
      </w:r>
      <w:r>
        <w:t xml:space="preserve">. This method enables the identification of the order of scar removal, allowing us to understand the organization of removals. All spheroids were included in the analysis to assess whether removal organization differs systematically from the group of polyhedrons and multifacial cores.</w:t>
      </w:r>
    </w:p>
    <w:p>
      <w:pPr>
        <w:pStyle w:val="BodyText"/>
      </w:pPr>
      <w:r>
        <w:t xml:space="preserve">Following the reconstruction of reduction sequences, we adopted an inductive approach to infer exploitation models of spheroids, that is, the removal patterns and associated stages employed in a spheroid. Our goal was to reconstruct the complete chaîne opératoire of spheroids, from the selection of raw material and initial blank to the final product.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4"/>
    <w:bookmarkStart w:id="45"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Zhi Ye et al. (2025)</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5"/>
    <w:bookmarkEnd w:id="46"/>
    <w:bookmarkStart w:id="49" w:name="efficiency-of-shaping-strategy"/>
    <w:p>
      <w:pPr>
        <w:pStyle w:val="Heading2"/>
      </w:pPr>
      <w:r>
        <w:t xml:space="preserve">3.3 Efficiency of shaping strategy</w:t>
      </w:r>
    </w:p>
    <w:p>
      <w:pPr>
        <w:pStyle w:val="FirstParagraph"/>
      </w:pPr>
      <w:r>
        <w:t xml:space="preserve">The following group of methods aims to investigate how the morphology of spheroids changed during the reduction process. We hypothesize that as reduction intensity increases, spheroids will progressively approximate a perfect sphere. This would indicate a high-efficiency shaping strategy, where each step is directed toward achieving a predefined morphological goal. To test this hypothesis, we established a set of quantitative indicators for reduction intensity and spheroid morphology.</w:t>
      </w:r>
    </w:p>
    <w:bookmarkStart w:id="47" w:name="degree-of-reduction"/>
    <w:p>
      <w:pPr>
        <w:pStyle w:val="Heading3"/>
      </w:pPr>
      <w:r>
        <w:t xml:space="preserve">3.3.1 Degree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7"/>
    <w:bookmarkStart w:id="48"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8"/>
    <w:bookmarkEnd w:id="49"/>
    <w:bookmarkEnd w:id="50"/>
    <w:bookmarkStart w:id="80" w:name="results"/>
    <w:p>
      <w:pPr>
        <w:pStyle w:val="Heading1"/>
      </w:pPr>
      <w:r>
        <w:t xml:space="preserve">4. Results</w:t>
      </w:r>
    </w:p>
    <w:bookmarkStart w:id="60" w:name="morphometric-analysis-1"/>
    <w:p>
      <w:pPr>
        <w:pStyle w:val="Heading2"/>
      </w:pPr>
      <w:r>
        <w:t xml:space="preserve">4.1 Morphometric analysis</w:t>
      </w:r>
    </w:p>
    <w:tbl>
      <w:tblPr>
        <w:tblStyle w:val="Table"/>
        <w:tblW w:type="pct" w:w="5000"/>
        <w:tblLook w:firstRow="0" w:lastRow="0" w:firstColumn="0" w:lastColumn="0" w:noHBand="0" w:noVBand="0" w:val="0000"/>
        <w:jc w:val="start"/>
        <w:tblLayout w:type="fixed"/>
      </w:tblPr>
      <w:tblGrid>
        <w:gridCol w:w="7920"/>
      </w:tblGrid>
      <w:tr>
        <w:tc>
          <w:tcPr/>
          <w:bookmarkStart w:id="51" w:name="tbl-1"/>
          <w:p>
            <w:pPr>
              <w:jc w:val="center"/>
            </w:pPr>
            <w:pPr>
              <w:jc w:val="start"/>
              <w:spacing w:before="200"/>
              <w:pStyle w:val="ImageCaption"/>
            </w:pPr>
            <w:r>
              <w:t xml:space="preserve">Table 1: Summary of core typology and morphological parameters.</w:t>
            </w:r>
          </w:p>
          <w:tbl>
            <w:tblPr>
              <w:tblStyle w:val="Table"/>
              <w:tblW w:type="pct" w:w="5000"/>
              <w:tblLook w:firstRow="1" w:lastRow="0" w:firstColumn="0" w:lastColumn="0" w:noHBand="0" w:noVBand="0" w:val="0020"/>
              <w:jc w:val="start"/>
              <w:tblLayout w:type="fixed"/>
            </w:tblPr>
            <w:tblGrid>
              <w:gridCol w:w="714"/>
              <w:gridCol w:w="1038"/>
              <w:gridCol w:w="714"/>
              <w:gridCol w:w="1103"/>
              <w:gridCol w:w="779"/>
              <w:gridCol w:w="1493"/>
              <w:gridCol w:w="714"/>
              <w:gridCol w:w="389"/>
              <w:gridCol w:w="973"/>
            </w:tblGrid>
            <w:tr>
              <w:trPr>
                <w:tblHeader w:val="true"/>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c>
                <w:tcPr/>
                <w:p>
                  <w:pPr>
                    <w:pStyle w:val="Compact"/>
                    <w:jc w:val="left"/>
                    <w:jc w:val="center"/>
                  </w:pPr>
                  <w:r>
                    <w:t xml:space="preserve">Cortex covered</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c>
                <w:tcPr/>
                <w:p>
                  <w:pPr>
                    <w:pStyle w:val="Compact"/>
                    <w:jc w:val="left"/>
                    <w:jc w:val="center"/>
                  </w:pPr>
                  <w:r>
                    <w:t xml:space="preserve">NA</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c>
                <w:tcPr/>
                <w:p>
                  <w:pPr>
                    <w:pStyle w:val="Compact"/>
                    <w:jc w:val="left"/>
                    <w:jc w:val="center"/>
                  </w:pPr>
                  <w:r>
                    <w:t xml:space="preserve">NA</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c>
                <w:tcPr/>
                <w:p>
                  <w:pPr>
                    <w:pStyle w:val="Compact"/>
                    <w:jc w:val="left"/>
                    <w:jc w:val="center"/>
                  </w:pPr>
                  <w:r>
                    <w:t xml:space="preserve">NA</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c>
                <w:tcPr/>
                <w:p>
                  <w:pPr>
                    <w:pStyle w:val="Compact"/>
                    <w:jc w:val="left"/>
                    <w:jc w:val="center"/>
                  </w:pPr>
                  <w:r>
                    <w:t xml:space="preserve">NA</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c>
                <w:tcPr/>
                <w:p>
                  <w:pPr>
                    <w:pStyle w:val="Compact"/>
                    <w:jc w:val="left"/>
                    <w:jc w:val="center"/>
                  </w:pPr>
                  <w:r>
                    <w:t xml:space="preserve">NA</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c>
                <w:tcPr/>
                <w:p>
                  <w:pPr>
                    <w:pStyle w:val="Compact"/>
                    <w:jc w:val="left"/>
                    <w:jc w:val="center"/>
                  </w:pPr>
                  <w:r>
                    <w:t xml:space="preserve">NA</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c>
                <w:tcPr/>
                <w:p>
                  <w:pPr>
                    <w:pStyle w:val="Compact"/>
                    <w:jc w:val="left"/>
                    <w:jc w:val="center"/>
                  </w:pPr>
                  <w:r>
                    <w:t xml:space="preserve">Y</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c>
                <w:tcPr/>
                <w:p>
                  <w:pPr>
                    <w:pStyle w:val="Compact"/>
                    <w:jc w:val="left"/>
                    <w:jc w:val="center"/>
                  </w:pPr>
                  <w:r>
                    <w:t xml:space="preserve">NA</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c>
                <w:tcPr/>
                <w:p>
                  <w:pPr>
                    <w:pStyle w:val="Compact"/>
                    <w:jc w:val="left"/>
                    <w:jc w:val="center"/>
                  </w:pPr>
                  <w:r>
                    <w:t xml:space="preserve">NA</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c>
                <w:tcPr/>
                <w:p>
                  <w:pPr>
                    <w:pStyle w:val="Compact"/>
                    <w:jc w:val="left"/>
                    <w:jc w:val="center"/>
                  </w:pPr>
                  <w:r>
                    <w:t xml:space="preserve">NA</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c>
                <w:tcPr/>
                <w:p>
                  <w:pPr>
                    <w:pStyle w:val="Compact"/>
                    <w:jc w:val="left"/>
                    <w:jc w:val="center"/>
                  </w:pPr>
                  <w:r>
                    <w:t xml:space="preserve">Y</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c>
                <w:tcPr/>
                <w:p>
                  <w:pPr>
                    <w:pStyle w:val="Compact"/>
                    <w:jc w:val="left"/>
                    <w:jc w:val="center"/>
                  </w:pPr>
                  <w:r>
                    <w:t xml:space="preserve">NA</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c>
                <w:tcPr/>
                <w:p>
                  <w:pPr>
                    <w:pStyle w:val="Compact"/>
                    <w:jc w:val="left"/>
                    <w:jc w:val="center"/>
                  </w:pPr>
                  <w:r>
                    <w:t xml:space="preserve">NA</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c>
                <w:tcPr/>
                <w:p>
                  <w:pPr>
                    <w:pStyle w:val="Compact"/>
                    <w:jc w:val="left"/>
                    <w:jc w:val="center"/>
                  </w:pPr>
                  <w:r>
                    <w:t xml:space="preserve">NA</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c>
                <w:tcPr/>
                <w:p>
                  <w:pPr>
                    <w:pStyle w:val="Compact"/>
                    <w:jc w:val="left"/>
                    <w:jc w:val="center"/>
                  </w:pPr>
                  <w:r>
                    <w:t xml:space="preserve">Y</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c>
                <w:tcPr/>
                <w:p>
                  <w:pPr>
                    <w:pStyle w:val="Compact"/>
                    <w:jc w:val="left"/>
                    <w:jc w:val="center"/>
                  </w:pPr>
                  <w:r>
                    <w:t xml:space="preserve">NA</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c>
                <w:tcPr/>
                <w:p>
                  <w:pPr>
                    <w:pStyle w:val="Compact"/>
                    <w:jc w:val="left"/>
                    <w:jc w:val="center"/>
                  </w:pPr>
                  <w:r>
                    <w:t xml:space="preserve">Y</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c>
                <w:tcPr/>
                <w:p>
                  <w:pPr>
                    <w:pStyle w:val="Compact"/>
                    <w:jc w:val="left"/>
                    <w:jc w:val="center"/>
                  </w:pPr>
                  <w:r>
                    <w:t xml:space="preserve">Y</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c>
                <w:tcPr/>
                <w:p>
                  <w:pPr>
                    <w:pStyle w:val="Compact"/>
                    <w:jc w:val="left"/>
                    <w:jc w:val="center"/>
                  </w:pPr>
                  <w:r>
                    <w:t xml:space="preserve">Y</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c>
                <w:tcPr/>
                <w:p>
                  <w:pPr>
                    <w:pStyle w:val="Compact"/>
                    <w:jc w:val="left"/>
                    <w:jc w:val="center"/>
                  </w:pPr>
                  <w:r>
                    <w:t xml:space="preserve">NA</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c>
                <w:tcPr/>
                <w:p>
                  <w:pPr>
                    <w:pStyle w:val="Compact"/>
                    <w:jc w:val="left"/>
                    <w:jc w:val="center"/>
                  </w:pPr>
                  <w:r>
                    <w:t xml:space="preserve">Y</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c>
                <w:tcPr/>
                <w:p>
                  <w:pPr>
                    <w:pStyle w:val="Compact"/>
                    <w:jc w:val="left"/>
                    <w:jc w:val="center"/>
                  </w:pPr>
                  <w:r>
                    <w:t xml:space="preserve">NA</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c>
                <w:tcPr/>
                <w:p>
                  <w:pPr>
                    <w:pStyle w:val="Compact"/>
                    <w:jc w:val="left"/>
                    <w:jc w:val="center"/>
                  </w:pPr>
                  <w:r>
                    <w:t xml:space="preserve">NA</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c>
                <w:tcPr/>
                <w:p>
                  <w:pPr>
                    <w:pStyle w:val="Compact"/>
                    <w:jc w:val="left"/>
                    <w:jc w:val="center"/>
                  </w:pPr>
                  <w:r>
                    <w:t xml:space="preserve">NA</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c>
                <w:tcPr/>
                <w:p>
                  <w:pPr>
                    <w:pStyle w:val="Compact"/>
                    <w:jc w:val="left"/>
                    <w:jc w:val="center"/>
                  </w:pPr>
                  <w:r>
                    <w:t xml:space="preserve">NA</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c>
                <w:tcPr/>
                <w:p>
                  <w:pPr>
                    <w:pStyle w:val="Compact"/>
                    <w:jc w:val="left"/>
                    <w:jc w:val="center"/>
                  </w:pPr>
                  <w:r>
                    <w:t xml:space="preserve">Y</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c>
                <w:tcPr/>
                <w:p>
                  <w:pPr>
                    <w:pStyle w:val="Compact"/>
                    <w:jc w:val="left"/>
                    <w:jc w:val="center"/>
                  </w:pPr>
                  <w:r>
                    <w:t xml:space="preserve">NA</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c>
                <w:tcPr/>
                <w:p>
                  <w:pPr>
                    <w:pStyle w:val="Compact"/>
                    <w:jc w:val="left"/>
                    <w:jc w:val="center"/>
                  </w:pPr>
                  <w:r>
                    <w:t xml:space="preserve">Y</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c>
                <w:tcPr/>
                <w:p>
                  <w:pPr>
                    <w:pStyle w:val="Compact"/>
                    <w:jc w:val="left"/>
                    <w:jc w:val="center"/>
                  </w:pPr>
                  <w:r>
                    <w:t xml:space="preserve">NA</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c>
                <w:tcPr/>
                <w:p>
                  <w:pPr>
                    <w:pStyle w:val="Compact"/>
                    <w:jc w:val="left"/>
                    <w:jc w:val="center"/>
                  </w:pPr>
                  <w:r>
                    <w:t xml:space="preserve">NA</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c>
                <w:tcPr/>
                <w:p>
                  <w:pPr>
                    <w:pStyle w:val="Compact"/>
                    <w:jc w:val="left"/>
                    <w:jc w:val="center"/>
                  </w:pPr>
                  <w:r>
                    <w:t xml:space="preserve">NA</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c>
                <w:tcPr/>
                <w:p>
                  <w:pPr>
                    <w:pStyle w:val="Compact"/>
                    <w:jc w:val="left"/>
                    <w:jc w:val="center"/>
                  </w:pPr>
                  <w:r>
                    <w:t xml:space="preserve">NA</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c>
                <w:tcPr/>
                <w:p>
                  <w:pPr>
                    <w:pStyle w:val="Compact"/>
                    <w:jc w:val="left"/>
                    <w:jc w:val="center"/>
                  </w:pPr>
                  <w:r>
                    <w:t xml:space="preserve">Y</w:t>
                  </w:r>
                </w:p>
              </w:tc>
            </w:tr>
          </w:tbl>
          <w:bookmarkEnd w:id="51"/>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multifical cores involved in the research. From this table, we can observe distinctions between spheroids and subspheroids (n = 13) on the one hand, and polyhedrons and multifacial cores (n =29) on the other. In the subsequent analysis, these categories are treated as two separate groups for comparison.</w:t>
      </w:r>
    </w:p>
    <w:p>
      <w:pPr>
        <w:pStyle w:val="BodyText"/>
      </w:pPr>
      <w:r>
        <w:t xml:space="preserve">Our sphericity results reveals a clear difference between the group of spheroids and the group of polyhedrons and multifacial cores. The mean sphericity of spheroids (0.906) is notably higher than that of polyhedrons and multifacial cores (0.861), with a Wilcoxon rank-sum test yielding W = 37, p =</w:t>
      </w:r>
      <w:r>
        <w:t xml:space="preserve"> </w:t>
      </w:r>
      <m:oMath>
        <m:r>
          <m:t>3.99</m:t>
        </m:r>
        <m:r>
          <m:rPr>
            <m:sty m:val="p"/>
          </m:rPr>
          <m:t>×</m:t>
        </m:r>
        <m:sSup>
          <m:e>
            <m:r>
              <m:t>10</m:t>
            </m:r>
          </m:e>
          <m:sup>
            <m:r>
              <m:rPr>
                <m:sty m:val="p"/>
              </m:rPr>
              <m:t>−</m:t>
            </m:r>
            <m:r>
              <m:t>5</m:t>
            </m:r>
          </m:sup>
        </m:sSup>
      </m:oMath>
      <w:r>
        <w:t xml:space="preserve">. This result indicates that spheroids possess a more spherical geometry overall, supporting their typological classification as a distinct type.</w:t>
      </w:r>
    </w:p>
    <w:p>
      <w:pPr>
        <w:pStyle w:val="BodyText"/>
      </w:pPr>
      <w:r>
        <w:t xml:space="preserve">We conducted shape analysis using spherical harmonic decomposition,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tbl>
      <w:tblPr>
        <w:tblStyle w:val="Table"/>
        <w:tblW w:type="pct" w:w="5000"/>
        <w:tblLook w:firstRow="0" w:lastRow="0" w:firstColumn="0" w:lastColumn="0" w:noHBand="0" w:noVBand="0" w:val="0000"/>
        <w:jc w:val="start"/>
        <w:tblLayout w:type="fixed"/>
      </w:tblPr>
      <w:tblGrid>
        <w:gridCol w:w="7920"/>
      </w:tblGrid>
      <w:tr>
        <w:tc>
          <w:tcPr/>
          <w:bookmarkStart w:id="55" w:name="fig-sp-summary"/>
          <w:p>
            <w:pPr>
              <w:pStyle w:val="Compact"/>
              <w:jc w:val="center"/>
            </w:pPr>
            <w:r>
              <w:drawing>
                <wp:inline>
                  <wp:extent cx="5943600" cy="5283200"/>
                  <wp:effectExtent b="0" l="0" r="0" t="0"/>
                  <wp:docPr descr="" title="" id="53" name="Picture"/>
                  <a:graphic>
                    <a:graphicData uri="http://schemas.openxmlformats.org/drawingml/2006/picture">
                      <pic:pic>
                        <pic:nvPicPr>
                          <pic:cNvPr descr="figures/panel_spharm_plots.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w:t>
            </w:r>
          </w:p>
          <w:bookmarkEnd w:id="55"/>
        </w:tc>
      </w:tr>
    </w:tbl>
    <w:p>
      <w:pPr>
        <w:pStyle w:val="BodyText"/>
      </w:pPr>
      <w:r>
        <w:t xml:space="preserve">Subsequently, we computed the rotation-invariant power spectrum. Here we present the power spectrum of different groups, including the group of spheroids, group of polyhedrons and multifacial cores, and the total of all these categories combined (</w:t>
      </w:r>
      <w:hyperlink w:anchor="fig-sp-summary">
        <w:r>
          <w:rPr>
            <w:rStyle w:val="Hyperlink"/>
          </w:rPr>
          <w:t xml:space="preserve">Fig. 5</w:t>
        </w:r>
      </w:hyperlink>
      <w:r>
        <w:t xml:space="preserve">). The results show that the spheroid group has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Statistical comparisons reveal distinct SHE distributions between groups: the group of spheroids exhibit a mean SHE of 1.013, whereas multifacial cores and polyhedron demonstrate significantly higher irregularity (mean SHE = 1.032) (panel C</w:t>
      </w:r>
      <w:r>
        <w:t xml:space="preserve"> </w:t>
      </w:r>
      <w:hyperlink w:anchor="fig-sp-summary">
        <w:r>
          <w:rPr>
            <w:rStyle w:val="Hyperlink"/>
          </w:rPr>
          <w:t xml:space="preserve">Fig. 5</w:t>
        </w:r>
      </w:hyperlink>
      <w:r>
        <w:t xml:space="preserve">). The Wilcoxon rank-sum test confirms robust inter-group divergence (W = 340, p =</w:t>
      </w:r>
      <w:r>
        <w:t xml:space="preserve"> </w:t>
      </w:r>
      <m:oMath>
        <m:r>
          <m:t>3.99</m:t>
        </m:r>
        <m:r>
          <m:rPr>
            <m:sty m:val="p"/>
          </m:rPr>
          <m:t>×</m:t>
        </m:r>
        <m:sSup>
          <m:e>
            <m:r>
              <m:t>10</m:t>
            </m:r>
          </m:e>
          <m:sup>
            <m:r>
              <m:rPr>
                <m:sty m:val="p"/>
              </m:rPr>
              <m:t>−</m:t>
            </m:r>
            <m:r>
              <m:t>5</m:t>
            </m:r>
          </m:sup>
        </m:sSup>
      </m:oMath>
      <w:r>
        <w:t xml:space="preserve">), confirming the distinguishability of spheroid group from Qianshangying.</w:t>
      </w:r>
    </w:p>
    <w:p>
      <w:pPr>
        <w:pStyle w:val="BodyText"/>
      </w:pPr>
      <w:r>
        <w:t xml:space="preserve">The pursuit of a standardized and distinct spherical form among spheroids is supported by our findings. Using the Coefficient of Variation (CV), defined as the sample standard deviation divided by the sample mean, we assessed the consistency of sphericity within the spheroid and subspheroids.</w:t>
      </w:r>
      <w:r>
        <w:t xml:space="preserve"> </w:t>
      </w:r>
      <w:r>
        <w:t xml:space="preserve">Eerkens and Bettinger (2001)</w:t>
      </w:r>
      <w:r>
        <w:t xml:space="preserve"> </w:t>
      </w:r>
      <w:r>
        <w:t xml:space="preserve">suggested that a CV of under 1.7% (0.017) is a realistic threshold for manually-produced archaeological artifacts. Both sphericity and SHE values yielded low CVs (0.017 and 0.006, respectively), indicating that group of 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0.039 and 0.017 respectively.</w:t>
      </w:r>
    </w:p>
    <w:p>
      <w:pPr>
        <w:pStyle w:val="BodyText"/>
      </w:pPr>
      <w:r>
        <w:t xml:space="preserve">The spherical harmonic energy (SHE), a novel metric introduced here, quantifies the geometric approximation of a shape to an ideal sphere. Normalized SHE approaching unity indicates progressively spherical configurations, while deviations from unity reflect morphological irregularity. Our analysis demonstrates significant negative correlation between SHE and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 w:name="fig-UMAP-combined"/>
          <w:p>
            <w:pPr>
              <w:pStyle w:val="Compact"/>
              <w:jc w:val="center"/>
            </w:pPr>
            <w:r>
              <w:drawing>
                <wp:inline>
                  <wp:extent cx="5943600" cy="6604000"/>
                  <wp:effectExtent b="0" l="0" r="0" t="0"/>
                  <wp:docPr descr="" title="" id="57" name="Picture"/>
                  <a:graphic>
                    <a:graphicData uri="http://schemas.openxmlformats.org/drawingml/2006/picture">
                      <pic:pic>
                        <pic:nvPicPr>
                          <pic:cNvPr descr="figures/UMAP_combined.png" id="58" name="Picture"/>
                          <pic:cNvPicPr>
                            <a:picLocks noChangeArrowheads="1" noChangeAspect="1"/>
                          </pic:cNvPicPr>
                        </pic:nvPicPr>
                        <pic:blipFill>
                          <a:blip r:embed="rId56"/>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9"/>
        </w:tc>
      </w:tr>
    </w:tbl>
    <w:p>
      <w:pPr>
        <w:pStyle w:val="BodyText"/>
      </w:pPr>
      <w:r>
        <w:t xml:space="preserve">To reduce the dimensionality and visualize the structure of shape variation, we applied a Uniform Manifold Approximation and Projection (UMAP) to the normalized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stone artifacts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However, both in the assessment of hominins and in our evaluation, these shapes are considered close to spherical, especially when they display large edge angles and rounded surface.</w:t>
      </w:r>
    </w:p>
    <w:p>
      <w:pPr>
        <w:pStyle w:val="BodyText"/>
      </w:pPr>
      <w:r>
        <w:t xml:space="preserve">The UMAP-based groupings also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60"/>
    <w:bookmarkStart w:id="73" w:name="technological-analysis-1"/>
    <w:p>
      <w:pPr>
        <w:pStyle w:val="Heading2"/>
      </w:pPr>
      <w:r>
        <w:t xml:space="preserve">4.2 Technological analysis</w:t>
      </w:r>
    </w:p>
    <w:tbl>
      <w:tblPr>
        <w:tblStyle w:val="Table"/>
        <w:tblW w:type="pct" w:w="5000"/>
        <w:tblLook w:firstRow="0" w:lastRow="0" w:firstColumn="0" w:lastColumn="0" w:noHBand="0" w:noVBand="0" w:val="0000"/>
        <w:jc w:val="start"/>
        <w:tblLayout w:type="fixed"/>
      </w:tblPr>
      <w:tblGrid>
        <w:gridCol w:w="7920"/>
      </w:tblGrid>
      <w:tr>
        <w:tc>
          <w:tcPr/>
          <w:bookmarkStart w:id="64" w:name="fig-spheroids-2797-1098"/>
          <w:p>
            <w:pPr>
              <w:pStyle w:val="Compact"/>
              <w:jc w:val="center"/>
            </w:pPr>
            <w:r>
              <w:drawing>
                <wp:inline>
                  <wp:extent cx="5943600" cy="3962865"/>
                  <wp:effectExtent b="0" l="0" r="0" t="0"/>
                  <wp:docPr descr="" title="" id="62" name="Picture"/>
                  <a:graphic>
                    <a:graphicData uri="http://schemas.openxmlformats.org/drawingml/2006/picture">
                      <pic:pic>
                        <pic:nvPicPr>
                          <pic:cNvPr descr="figures/spheroids_2797_1098.png" id="63" name="Picture"/>
                          <pic:cNvPicPr>
                            <a:picLocks noChangeArrowheads="1" noChangeAspect="1"/>
                          </pic:cNvPicPr>
                        </pic:nvPicPr>
                        <pic:blipFill>
                          <a:blip r:embed="rId61"/>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4"/>
        </w:tc>
      </w:tr>
    </w:tbl>
    <w:tbl>
      <w:tblPr>
        <w:tblStyle w:val="Table"/>
        <w:tblW w:type="pct" w:w="5000"/>
        <w:tblLook w:firstRow="0" w:lastRow="0" w:firstColumn="0" w:lastColumn="0" w:noHBand="0" w:noVBand="0" w:val="0000"/>
        <w:jc w:val="start"/>
        <w:tblLayout w:type="fixed"/>
      </w:tblPr>
      <w:tblGrid>
        <w:gridCol w:w="7920"/>
      </w:tblGrid>
      <w:tr>
        <w:tc>
          <w:tcPr/>
          <w:bookmarkStart w:id="68" w:name="fig-shaping-process"/>
          <w:p>
            <w:pPr>
              <w:pStyle w:val="Compact"/>
              <w:jc w:val="center"/>
            </w:pPr>
            <w:r>
              <w:drawing>
                <wp:inline>
                  <wp:extent cx="5943600" cy="2706211"/>
                  <wp:effectExtent b="0" l="0" r="0" t="0"/>
                  <wp:docPr descr="" title="" id="66" name="Picture"/>
                  <a:graphic>
                    <a:graphicData uri="http://schemas.openxmlformats.org/drawingml/2006/picture">
                      <pic:pic>
                        <pic:nvPicPr>
                          <pic:cNvPr descr="figures/shaping_process.png" id="67" name="Picture"/>
                          <pic:cNvPicPr>
                            <a:picLocks noChangeArrowheads="1" noChangeAspect="1"/>
                          </pic:cNvPicPr>
                        </pic:nvPicPr>
                        <pic:blipFill>
                          <a:blip r:embed="rId65"/>
                          <a:stretch>
                            <a:fillRect/>
                          </a:stretch>
                        </pic:blipFill>
                        <pic:spPr bwMode="auto">
                          <a:xfrm>
                            <a:off x="0" y="0"/>
                            <a:ext cx="5943600" cy="2706211"/>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8"/>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face’s ventral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Among the spheroids and subspheroids in Qianshangying site, 7 pieces fall within Phase three of the reduction sequence, 1 piece in phase two, and 4 pieces in phase one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indicates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2" w:name="fig-benn-ternary-plot"/>
          <w:p>
            <w:pPr>
              <w:pStyle w:val="Compact"/>
              <w:jc w:val="center"/>
            </w:pPr>
            <w:r>
              <w:drawing>
                <wp:inline>
                  <wp:extent cx="5943600" cy="3566160"/>
                  <wp:effectExtent b="0" l="0" r="0" t="0"/>
                  <wp:docPr descr="" title="" id="70" name="Picture"/>
                  <a:graphic>
                    <a:graphicData uri="http://schemas.openxmlformats.org/drawingml/2006/picture">
                      <pic:pic>
                        <pic:nvPicPr>
                          <pic:cNvPr descr="figures/benn_ternary_plot.jpg" id="71" name="Picture"/>
                          <pic:cNvPicPr>
                            <a:picLocks noChangeArrowheads="1" noChangeAspect="1"/>
                          </pic:cNvPicPr>
                        </pic:nvPicPr>
                        <pic:blipFill>
                          <a:blip r:embed="rId69"/>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2"/>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3"/>
    <w:bookmarkStart w:id="79" w:name="shaping-strategy-efficiency"/>
    <w:p>
      <w:pPr>
        <w:pStyle w:val="Heading2"/>
      </w:pPr>
      <w:r>
        <w:t xml:space="preserve">4.3 Shaping strategy efficiency</w:t>
      </w:r>
    </w:p>
    <w:tbl>
      <w:tblPr>
        <w:tblStyle w:val="Table"/>
        <w:tblW w:type="pct" w:w="5000"/>
        <w:tblLook w:firstRow="0" w:lastRow="0" w:firstColumn="0" w:lastColumn="0" w:noHBand="0" w:noVBand="0" w:val="0000"/>
        <w:jc w:val="start"/>
        <w:tblLayout w:type="fixed"/>
      </w:tblPr>
      <w:tblGrid>
        <w:gridCol w:w="7920"/>
      </w:tblGrid>
      <w:tr>
        <w:tc>
          <w:tcPr/>
          <w:bookmarkStart w:id="74"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ook w:firstRow="1" w:lastRow="0" w:firstColumn="0" w:lastColumn="0" w:noHBand="0" w:noVBand="0" w:val="0020"/>
              <w:jc w:val="start"/>
              <w:tblLayout w:type="fixed"/>
            </w:tblPr>
            <w:tblGrid>
              <w:gridCol w:w="1013"/>
              <w:gridCol w:w="1105"/>
              <w:gridCol w:w="1289"/>
              <w:gridCol w:w="552"/>
              <w:gridCol w:w="1473"/>
              <w:gridCol w:w="920"/>
              <w:gridCol w:w="1013"/>
              <w:gridCol w:w="552"/>
            </w:tblGrid>
            <w:tr>
              <w:trPr>
                <w:tblHeader w:val="true"/>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right"/>
                    <w:jc w:val="center"/>
                  </w:pPr>
                  <w:r>
                    <w:t xml:space="preserve">22</w:t>
                  </w:r>
                </w:p>
              </w:tc>
              <w:tc>
                <w:tcPr/>
                <w:p>
                  <w:pPr>
                    <w:pStyle w:val="Compact"/>
                    <w:jc w:val="right"/>
                    <w:jc w:val="center"/>
                  </w:pPr>
                  <w:r>
                    <w:t xml:space="preserve">0.851</w:t>
                  </w:r>
                </w:p>
              </w:tc>
              <w:tc>
                <w:tcPr/>
                <w:p>
                  <w:pPr>
                    <w:pStyle w:val="Compact"/>
                    <w:jc w:val="right"/>
                    <w:jc w:val="center"/>
                  </w:pPr>
                  <w:r>
                    <w:t xml:space="preserve">0.000</w:t>
                  </w:r>
                </w:p>
              </w:tc>
              <w:tc>
                <w:tcPr/>
                <w:p>
                  <w:pPr>
                    <w:pStyle w:val="Compact"/>
                    <w:jc w:val="right"/>
                    <w:jc w:val="center"/>
                  </w:pPr>
                  <w:r>
                    <w:t xml:space="preserve">118.574</w:t>
                  </w:r>
                </w:p>
              </w:tc>
              <w:tc>
                <w:tcPr/>
                <w:p>
                  <w:pPr>
                    <w:pStyle w:val="Compact"/>
                    <w:jc w:val="right"/>
                    <w:jc w:val="center"/>
                  </w:pPr>
                  <w:r>
                    <w:t xml:space="preserve">8.133</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4"/>
          <w:p/>
        </w:tc>
      </w:tr>
    </w:tbl>
    <w:tbl>
      <w:tblPr>
        <w:tblStyle w:val="Table"/>
        <w:tblW w:type="pct" w:w="5000"/>
        <w:tblLook w:firstRow="0" w:lastRow="0" w:firstColumn="0" w:lastColumn="0" w:noHBand="0" w:noVBand="0" w:val="0000"/>
        <w:jc w:val="start"/>
        <w:tblLayout w:type="fixed"/>
      </w:tblPr>
      <w:tblGrid>
        <w:gridCol w:w="7920"/>
      </w:tblGrid>
      <w:tr>
        <w:tc>
          <w:tcPr/>
          <w:bookmarkStart w:id="78" w:name="fig-spearman-correlation-matrix"/>
          <w:p>
            <w:pPr>
              <w:pStyle w:val="Compact"/>
              <w:jc w:val="center"/>
            </w:pPr>
            <w:r>
              <w:drawing>
                <wp:inline>
                  <wp:extent cx="5943600" cy="4754880"/>
                  <wp:effectExtent b="0" l="0" r="0" t="0"/>
                  <wp:docPr descr="" title="" id="76" name="Picture"/>
                  <a:graphic>
                    <a:graphicData uri="http://schemas.openxmlformats.org/drawingml/2006/picture">
                      <pic:pic>
                        <pic:nvPicPr>
                          <pic:cNvPr descr="paper_files/figure-docx/fig-spearman-correlation-matrix-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Red star indicates p &lt; 0.05</w:t>
            </w:r>
          </w:p>
          <w:bookmarkEnd w:id="78"/>
        </w:tc>
      </w:tr>
    </w:tbl>
    <w:p>
      <w:pPr>
        <w:pStyle w:val="BodyText"/>
      </w:pPr>
      <w:r>
        <w:t xml:space="preserve">For all spheroids and subspheroids, we conducted shaping efficiency analysis.</w:t>
      </w:r>
      <w:r>
        <w:t xml:space="preserve"> </w:t>
      </w:r>
      <w:hyperlink w:anchor="fig-spearman-correlation-matrix">
        <w:r>
          <w:rPr>
            <w:rStyle w:val="Hyperlink"/>
          </w:rPr>
          <w:t xml:space="preserve">Fig. 10</w:t>
        </w:r>
      </w:hyperlink>
      <w:r>
        <w:t xml:space="preserve"> </w:t>
      </w:r>
      <w:r>
        <w:t xml:space="preserve">shows significant positive correlations among the three variables representing reduction intensity: scar number, removal ratio, and SDI. Among them, scar counts show significant positive correlations with both removal ratio (ρ = 0.74, p =</w:t>
      </w:r>
      <w:r>
        <w:t xml:space="preserve"> </w:t>
      </w:r>
      <m:oMath>
        <m:r>
          <m:t>3.56</m:t>
        </m:r>
        <m:r>
          <m:rPr>
            <m:sty m:val="p"/>
          </m:rPr>
          <m:t>×</m:t>
        </m:r>
        <m:sSup>
          <m:e>
            <m:r>
              <m:t>10</m:t>
            </m:r>
          </m:e>
          <m:sup>
            <m:r>
              <m:rPr>
                <m:sty m:val="p"/>
              </m:rPr>
              <m:t>−</m:t>
            </m:r>
            <m:r>
              <m:t>3</m:t>
            </m:r>
          </m:sup>
        </m:sSup>
      </m:oMath>
      <w:r>
        <w:t xml:space="preserve">) and SDI (ρ = 0.64, p =</w:t>
      </w:r>
      <w:r>
        <w:t xml:space="preserve"> </w:t>
      </w:r>
      <m:oMath>
        <m:r>
          <m:t>0.019</m:t>
        </m:r>
      </m:oMath>
      <w:r>
        <w:t xml:space="preserve">). Removal ratio and SDI exhibit a stronger and more highly significant correlation (ρ = 0.89, p =</w:t>
      </w:r>
      <w:r>
        <w:t xml:space="preserve"> </w:t>
      </w:r>
      <m:oMath>
        <m:r>
          <m:t>0.000</m:t>
        </m:r>
      </m:oMath>
      <w:r>
        <w:t xml:space="preserve">). These two variables incorporate surface area in their calculation, making them more effective in capturing the density and intensity of reduction, and therefore more reliable indicators of the shaping process in spheroids.</w:t>
      </w:r>
    </w:p>
    <w:p>
      <w:pPr>
        <w:pStyle w:val="BodyText"/>
      </w:pPr>
      <w:r>
        <w:t xml:space="preserve">Among the shape descriptors, we observed several significant correlations. Mean edge angle was positively correlated with sphericity (ρ = 0.68, p =</w:t>
      </w:r>
      <w:r>
        <w:t xml:space="preserve"> </w:t>
      </w:r>
      <m:oMath>
        <m:r>
          <m:t>0.011</m:t>
        </m:r>
      </m:oMath>
      <w:r>
        <w:t xml:space="preserve">) and negatively correlated with Spherical Harmonics Power (SHE) (ρ = -0.59, p =</w:t>
      </w:r>
      <w:r>
        <w:t xml:space="preserve"> </w:t>
      </w:r>
      <m:oMath>
        <m:r>
          <m:t>0.035</m:t>
        </m:r>
      </m:oMath>
      <w:r>
        <w:t xml:space="preserve">), indicating that greater edge angles are associated with more spherical and regular forms. As noted in previous studies, mean edge angle is a key variable in capturing the morphology of spheroids</w:t>
      </w:r>
      <w:r>
        <w:t xml:space="preserve"> </w:t>
      </w:r>
      <w:r>
        <w:t xml:space="preserve">(Titton et al., 2020)</w:t>
      </w:r>
      <w:r>
        <w:t xml:space="preserve">. This correlation between edge angle and SHE may help explain why spheroids were often interpreted as exhausted cores in earlier research</w:t>
      </w:r>
      <w:r>
        <w:t xml:space="preserve"> </w:t>
      </w:r>
      <w:r>
        <w:t xml:space="preserve">(Sahnouni et al., 1997)</w:t>
      </w:r>
      <w:r>
        <w:t xml:space="preserve">. Indeed, spheroids must be significantly reduced, as achieving a near-perfect spherical shape typically results in increased edge angles, making further flake removal difficult. However, the reverse is not necessarily true, as not all exhausted cores are shaped like spheroids.</w:t>
      </w:r>
    </w:p>
    <w:p>
      <w:pPr>
        <w:pStyle w:val="BodyText"/>
      </w:pPr>
      <w:r>
        <w:t xml:space="preserve">Curvature was only significantly correlated with sphericity (ρ = -0.57, p =</w:t>
      </w:r>
      <w:r>
        <w:t xml:space="preserve"> </w:t>
      </w:r>
      <m:oMath>
        <m:r>
          <m:t>0.041</m:t>
        </m:r>
      </m:oMath>
      <w:r>
        <w:t xml:space="preserve">), suggesting that smoother surfaces tend to approximate spheres more closely. Its lack of correlation with other variables may reflect its focus on local surface texture, while edge angle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reduction intensity and mean edge angle and SHE. Mean edge angle was positively correlated with both scar number (ρ = 0.68, p =</w:t>
      </w:r>
      <w:r>
        <w:t xml:space="preserve"> </w:t>
      </w:r>
      <m:oMath>
        <m:r>
          <m:t>0.010</m:t>
        </m:r>
      </m:oMath>
      <w:r>
        <w:t xml:space="preserve">) and removal ratio (ρ = 0.61, p =</w:t>
      </w:r>
      <w:r>
        <w:t xml:space="preserve"> </w:t>
      </w:r>
      <m:oMath>
        <m:r>
          <m:t>0.027</m:t>
        </m:r>
      </m:oMath>
      <w:r>
        <w:t xml:space="preserve">), while SHE was negatively correlated with removal ratio (ρ = -0.60,</w:t>
      </w:r>
      <w:r>
        <w:t xml:space="preserve"> </w:t>
      </w:r>
      <m:oMath>
        <m:r>
          <m:t>0.031</m:t>
        </m:r>
      </m:oMath>
      <w:r>
        <w:t xml:space="preserve">) and SDI (ρ = -0.58, p =</w:t>
      </w:r>
      <w:r>
        <w:t xml:space="preserve"> </w:t>
      </w:r>
      <m:oMath>
        <m:r>
          <m:t>0.039</m:t>
        </m:r>
      </m:oMath>
      <w:r>
        <w:t xml:space="preserve">). These results suggest that as reduction progresses, spheroids develop larger edge angles and lower SHE, indicating increased regular forms and global symmetry.</w:t>
      </w:r>
    </w:p>
    <w:p>
      <w:pPr>
        <w:pStyle w:val="BodyText"/>
      </w:pPr>
      <w:r>
        <w:t xml:space="preserve">However, no significant correlations were observed between reduction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 For instance, a smooth, naturally rounded cobble might exhibit lower curvature and a sphericity closer to 1 than a heavily flaked spheroid. Therefore, the signficnt correlation between reduction intensity and SHE and mean edge angle, but not sphericity or curvature, suggests that shaping efforts prioritized achieving symmetrical and regular, coherent forms rather than naturally polished and smooth surfaces.</w:t>
      </w:r>
    </w:p>
    <w:p>
      <w:pPr>
        <w:pStyle w:val="BodyText"/>
      </w:pPr>
      <w:r>
        <w:t xml:space="preserve">Overall, the observed relationships between reduction intensity and shape descriptors, particularly mean edge angle and SHE, support the interpretation that spheroid shaping was an efficient and purposeful process. The goal was to produce well-structured, globally spherical spheroids rather than smooth objects.</w:t>
      </w:r>
    </w:p>
    <w:bookmarkEnd w:id="79"/>
    <w:bookmarkEnd w:id="80"/>
    <w:bookmarkStart w:id="87" w:name="discussion"/>
    <w:p>
      <w:pPr>
        <w:pStyle w:val="Heading1"/>
      </w:pPr>
      <w:r>
        <w:t xml:space="preserve">5. Discussion</w:t>
      </w:r>
    </w:p>
    <w:bookmarkStart w:id="81" w:name="X827d0167af746014f398f4da24d27eec16928d8"/>
    <w:p>
      <w:pPr>
        <w:pStyle w:val="Heading2"/>
      </w:pPr>
      <w:r>
        <w:t xml:space="preserve">5.1 Do the Qianshangying spheroids represent a shaping strategy?</w:t>
      </w:r>
    </w:p>
    <w:p>
      <w:pPr>
        <w:pStyle w:val="FirstParagraph"/>
      </w:pPr>
      <w:r>
        <w:t xml:space="preserve">According to the results of our morphological and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 evolutionary origins of shaping strategies are most commonly linked to the Acheulean, particularly those exemplified by bifacial shaping strategies on handaxes</w:t>
      </w:r>
      <w:r>
        <w:t xml:space="preserve"> </w:t>
      </w:r>
      <w:r>
        <w:t xml:space="preserve">(Isaac, 1986)</w:t>
      </w:r>
      <w:r>
        <w:t xml:space="preserve">. These strategies gradually became more refined, with mature bifacial shaping marked by the concept of bifacial symmetry, thinning and edge refinement, and the achievement of a standardized final shape</w:t>
      </w:r>
      <w:r>
        <w:t xml:space="preserve"> </w:t>
      </w:r>
      <w:r>
        <w:t xml:space="preserve">(Beyene et al., 2013; Shipton et al., 2019)</w:t>
      </w:r>
      <w:r>
        <w:t xml:space="preserve">. Compared to flaking technology in Oldowan, these processes demand greater cognitive planning and precise manual control</w:t>
      </w:r>
      <w:r>
        <w:t xml:space="preserve"> </w:t>
      </w:r>
      <w:r>
        <w:t xml:space="preserve">(Stout et al., 2015; Wynn, 1995)</w:t>
      </w:r>
      <w:r>
        <w:t xml:space="preserve">. Although the spheroid group from Qianshangying do not qualify as Large Cutting Tools (LCTs), nor does the site yield other typically Acheulean products, the faceted spheroids nonetheless exhibit a level of technological and morphological complexity comparable to that of LCTs. They also share key features, including a hierarchical and standardized reduction sequence and a high degree of symmetry and regularity in the final product.</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1"/>
    <w:bookmarkStart w:id="86" w:name="Xc47e4877b882a7d12361a61956a6e6aa15b08f2"/>
    <w:p>
      <w:pPr>
        <w:pStyle w:val="Heading2"/>
      </w:pPr>
      <w:r>
        <w:t xml:space="preserve">5.2 Qianshangying spheroids in the context of East Asia</w:t>
      </w:r>
    </w:p>
    <w:tbl>
      <w:tblPr>
        <w:tblStyle w:val="Table"/>
        <w:tblW w:type="pct" w:w="5000"/>
        <w:tblLook w:firstRow="0" w:lastRow="0" w:firstColumn="0" w:lastColumn="0" w:noHBand="0" w:noVBand="0" w:val="0000"/>
        <w:jc w:val="start"/>
        <w:tblLayout w:type="fixed"/>
      </w:tblPr>
      <w:tblGrid>
        <w:gridCol w:w="7920"/>
      </w:tblGrid>
      <w:tr>
        <w:tc>
          <w:tcPr/>
          <w:bookmarkStart w:id="85" w:name="fig-Spheroids-distribution-China"/>
          <w:p>
            <w:pPr>
              <w:jc w:val="center"/>
            </w:pPr>
            <w:r>
              <w:drawing>
                <wp:inline>
                  <wp:extent cx="5943600" cy="4207267"/>
                  <wp:effectExtent b="0" l="0" r="0" t="0"/>
                  <wp:docPr descr="" title="" id="83" name="Picture"/>
                  <a:graphic>
                    <a:graphicData uri="http://schemas.openxmlformats.org/drawingml/2006/picture">
                      <pic:pic>
                        <pic:nvPicPr>
                          <pic:cNvPr descr="figures/Spheroids_distribution_China.png" id="84" name="Picture"/>
                          <pic:cNvPicPr>
                            <a:picLocks noChangeArrowheads="1" noChangeAspect="1"/>
                          </pic:cNvPicPr>
                        </pic:nvPicPr>
                        <pic:blipFill>
                          <a:blip r:embed="rId82"/>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(Z. Ye et al., 2025)</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5"/>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explains why they often occur in Acheulean techno-complex. We now find that faceted spheroids occur at Qianshangying within the small flake tool industry of northern China. Since this industry was previously regarded as a simple core and flake technology, the presence of faceted spheroids suggests that it is more complex and exhibits greater variability than previously thought.</w:t>
      </w:r>
    </w:p>
    <w:p>
      <w:pPr>
        <w:pStyle w:val="BodyText"/>
      </w:pPr>
      <w:r>
        <w:t xml:space="preserve">Similarly, we may need to reconsider the technological complexity implied by faceted spheroids, even when they occur in early cultural contexts traditionally regarded as simple.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p>
      <w:pPr>
        <w:pStyle w:val="BodyText"/>
      </w:pPr>
      <w:r>
        <w:t xml:space="preserve">In particular, if future research can demonstrate that these faceted spheroids also represent a deliberate shaping strategy, this may indicate a level of technical skill approaching that of the earliest Acheulean, or perhaps even foreshadowing its emergence. After all, faceted spheroids already embody one of the key innovation characteristics of the Acheulean, that is, the imposition of a specific mental template onto blanks in order to produce tools with broadly similar overall forms</w:t>
      </w:r>
      <w:r>
        <w:t xml:space="preserve"> </w:t>
      </w:r>
      <w:r>
        <w:t xml:space="preserve">(de la Torre, 2016; Isaac, 1986)</w:t>
      </w:r>
      <w:r>
        <w:t xml:space="preserve">.</w:t>
      </w:r>
    </w:p>
    <w:bookmarkEnd w:id="86"/>
    <w:bookmarkEnd w:id="87"/>
    <w:bookmarkStart w:id="88"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(Titton et al., 2020; Vaquero and Romagnoli, 2018)</w:t>
      </w:r>
      <w:r>
        <w:t xml:space="preserve">. For example, distinctions between flaking-based and battering-based spheroids, along with patterns of raw material selection, production goals, and associations with specific subsistence strategies or environmental adaptations, may prove meaningful</w:t>
      </w:r>
      <w:r>
        <w:t xml:space="preserve"> </w:t>
      </w:r>
      <w:r>
        <w:t xml:space="preserve">(Cabanès et al., 2024)</w:t>
      </w:r>
      <w:r>
        <w:t xml:space="preserve">. Beyond the methods of morphological and technological analysis used here, future studies incorporating functional analysis and experimental replication will further enhance our understanding.</w:t>
      </w:r>
    </w:p>
    <w:bookmarkEnd w:id="88"/>
    <w:bookmarkStart w:id="89"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9"/>
    <w:bookmarkStart w:id="90"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90"/>
    <w:bookmarkStart w:id="91"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1"/>
    <w:bookmarkStart w:id="92"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2"/>
    <w:bookmarkStart w:id="93"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3"/>
    <w:bookmarkStart w:id="225" w:name="references"/>
    <w:p>
      <w:pPr>
        <w:pStyle w:val="Heading1"/>
      </w:pPr>
      <w:r>
        <w:t xml:space="preserve">12. References</w:t>
      </w:r>
    </w:p>
    <w:bookmarkStart w:id="223" w:name="refs"/>
    <w:bookmarkStart w:id="95"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4">
        <w:r>
          <w:rPr>
            <w:rStyle w:val="Hyperlink"/>
          </w:rPr>
          <w:t xml:space="preserve">https://doi.org/10.1007/s12520-024-02138-7</w:t>
        </w:r>
      </w:hyperlink>
    </w:p>
    <w:bookmarkEnd w:id="95"/>
    <w:bookmarkStart w:id="96" w:name="ref-barbour1926geological"/>
    <w:p>
      <w:pPr>
        <w:pStyle w:val="Bibliography"/>
      </w:pPr>
      <w:r>
        <w:t xml:space="preserve">Barbour, G.B., Licent, E., Teilhard de Chardin, P., 1926. Geological study of the deposits of the sangkanho basin. Bulletin of the Geological Society of China 5, 263–278.</w:t>
      </w:r>
    </w:p>
    <w:bookmarkEnd w:id="96"/>
    <w:bookmarkStart w:id="97" w:name="ref-Van2023"/>
    <w:p>
      <w:pPr>
        <w:pStyle w:val="Bibliography"/>
      </w:pPr>
      <w:r>
        <w:t xml:space="preserve">Bavel, C. van, Thiels, W., Jelier, R., 2023. Cell shape characterization, alignment, and comparison using FlowShape. Bioinformatics 39, btad383.</w:t>
      </w:r>
    </w:p>
    <w:bookmarkEnd w:id="97"/>
    <w:bookmarkStart w:id="99" w:name="ref-beyene2013"/>
    <w:p>
      <w:pPr>
        <w:pStyle w:val="Bibliography"/>
      </w:pPr>
      <w:r>
        <w:t xml:space="preserve">Beyene, Y., Katoh, S., WoldeGabriel, G., Hart, W.K., Uto, K., Sudo, M., Kondo, M., Hyodo, M., Renne, P.R., Suwa, G., Asfaw, B., 2013. The characteristics and chronology of the earliest Acheulean at Konso, Ethiopia. Proceedings of the National Academy of Sciences 110, 1584–1591.</w:t>
      </w:r>
      <w:r>
        <w:t xml:space="preserve"> </w:t>
      </w:r>
      <w:hyperlink r:id="rId98">
        <w:r>
          <w:rPr>
            <w:rStyle w:val="Hyperlink"/>
          </w:rPr>
          <w:t xml:space="preserve">https://doi.org/10.1073/pnas.1221285110</w:t>
        </w:r>
      </w:hyperlink>
    </w:p>
    <w:bookmarkEnd w:id="99"/>
    <w:bookmarkStart w:id="101"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100">
        <w:r>
          <w:rPr>
            <w:rStyle w:val="Hyperlink"/>
          </w:rPr>
          <w:t xml:space="preserve">https://doi.org/10.1073/pnas.1820177116</w:t>
        </w:r>
      </w:hyperlink>
    </w:p>
    <w:bookmarkEnd w:id="101"/>
    <w:bookmarkStart w:id="103"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102">
        <w:r>
          <w:rPr>
            <w:rStyle w:val="Hyperlink"/>
          </w:rPr>
          <w:t xml:space="preserve">https://doi.org/10.1007/s41982-024-00195-x</w:t>
        </w:r>
      </w:hyperlink>
    </w:p>
    <w:bookmarkEnd w:id="103"/>
    <w:bookmarkStart w:id="105"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4">
        <w:r>
          <w:rPr>
            <w:rStyle w:val="Hyperlink"/>
          </w:rPr>
          <w:t xml:space="preserve">https://doi.org/10.1371/journal.pone.0272135</w:t>
        </w:r>
      </w:hyperlink>
    </w:p>
    <w:bookmarkEnd w:id="105"/>
    <w:bookmarkStart w:id="107"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6">
        <w:r>
          <w:rPr>
            <w:rStyle w:val="Hyperlink"/>
          </w:rPr>
          <w:t xml:space="preserve">https://doi.org/10.1111/arcm.13106</w:t>
        </w:r>
      </w:hyperlink>
    </w:p>
    <w:bookmarkEnd w:id="107"/>
    <w:bookmarkStart w:id="108"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8"/>
    <w:bookmarkStart w:id="109"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9"/>
    <w:bookmarkStart w:id="110" w:name="ref-Dai1973Lantian"/>
    <w:p>
      <w:pPr>
        <w:pStyle w:val="Bibliography"/>
      </w:pPr>
      <w:r>
        <w:t xml:space="preserve">Dai, E., Xu, C., 1973. New paleolithic materials and the lantian man culture. Kaogu Xuebao (Acta Archaeologica Sinica) 14.</w:t>
      </w:r>
    </w:p>
    <w:bookmarkEnd w:id="110"/>
    <w:bookmarkStart w:id="111" w:name="ref-de2016origins"/>
    <w:p>
      <w:pPr>
        <w:pStyle w:val="Bibliography"/>
      </w:pPr>
      <w:r>
        <w:t xml:space="preserve">de la Torre, I., 2016. The origins of the acheulean: Past and present perspectives on a major transition in human evolution. Philosophical Transactions of the Royal Society B: Biological Sciences 371, 20150245.</w:t>
      </w:r>
    </w:p>
    <w:bookmarkEnd w:id="111"/>
    <w:bookmarkStart w:id="113" w:name="ref-delatorre2004"/>
    <w:p>
      <w:pPr>
        <w:pStyle w:val="Bibliography"/>
      </w:pPr>
      <w:r>
        <w:t xml:space="preserve">de La Torre, I., 2004. Omo Revisited: Evaluating the Technological Skills of Pliocene Hominids. Current Anthropology 45, 439–465.</w:t>
      </w:r>
      <w:r>
        <w:t xml:space="preserve"> </w:t>
      </w:r>
      <w:hyperlink r:id="rId112">
        <w:r>
          <w:rPr>
            <w:rStyle w:val="Hyperlink"/>
          </w:rPr>
          <w:t xml:space="preserve">https://doi.org/10.1086/422079</w:t>
        </w:r>
      </w:hyperlink>
    </w:p>
    <w:bookmarkEnd w:id="113"/>
    <w:bookmarkStart w:id="114" w:name="ref-de2018oldowan"/>
    <w:p>
      <w:pPr>
        <w:pStyle w:val="Bibliography"/>
      </w:pPr>
      <w:r>
        <w:t xml:space="preserve">de la Torre, I., Mora, R., 2018. Oldowan technological behaviour at HWK EE (olduvai gorge, tanzania). Journal of Human Evolution 120, 236–273.</w:t>
      </w:r>
    </w:p>
    <w:bookmarkEnd w:id="114"/>
    <w:bookmarkStart w:id="116" w:name="ref-deweyer2017"/>
    <w:p>
      <w:pPr>
        <w:pStyle w:val="Bibliography"/>
      </w:pPr>
      <w:r>
        <w:t xml:space="preserve">de Weyer, L., 2017. An Early Stone Age in Western Africa? Spheroids and polyhedrons at Ounjougou, Mali. Journal of Lithic Studies 4.</w:t>
      </w:r>
      <w:r>
        <w:t xml:space="preserve"> </w:t>
      </w:r>
      <w:hyperlink r:id="rId115">
        <w:r>
          <w:rPr>
            <w:rStyle w:val="Hyperlink"/>
          </w:rPr>
          <w:t xml:space="preserve">https://doi.org/10.2218/jls.v4i1.1682</w:t>
        </w:r>
      </w:hyperlink>
    </w:p>
    <w:bookmarkEnd w:id="116"/>
    <w:bookmarkStart w:id="117" w:name="ref-deng2008timing"/>
    <w:p>
      <w:pPr>
        <w:pStyle w:val="Bibliography"/>
      </w:pPr>
      <w:r>
        <w:t xml:space="preserve">Deng, C., Zhu, R., Zhang, R., Ao, H., Pan, Y., 2008. Timing of the nihewan formation and faunas. Quaternary Research 69, 77–90.</w:t>
      </w:r>
    </w:p>
    <w:bookmarkEnd w:id="117"/>
    <w:bookmarkStart w:id="118" w:name="ref-Du2023"/>
    <w:p>
      <w:pPr>
        <w:pStyle w:val="Bibliography"/>
      </w:pPr>
      <w:r>
        <w:t xml:space="preserve">Du, Y., Yue, Z., Zhi, Y., Shuwen, P., 2023. A taphonomic analysis of faunal remains from the jijiazhuang paleolithic site in the yuxian basin. Acta Anthropologica Sinica 42, 359.</w:t>
      </w:r>
    </w:p>
    <w:bookmarkEnd w:id="118"/>
    <w:bookmarkStart w:id="119" w:name="ref-duke2021"/>
    <w:p>
      <w:pPr>
        <w:pStyle w:val="Bibliography"/>
      </w:pPr>
      <w:r>
        <w:t xml:space="preserve">Duke, H., Feibel, C., Harmand, S., 2021. Before the acheulean: The emergence of bifacial shaping at kokiselei 6 (1.8 ma), west turkana, kenya. Journal of Human Evolution 159, 103061.</w:t>
      </w:r>
    </w:p>
    <w:bookmarkEnd w:id="119"/>
    <w:bookmarkStart w:id="121"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20">
        <w:r>
          <w:rPr>
            <w:rStyle w:val="Hyperlink"/>
          </w:rPr>
          <w:t xml:space="preserve">https://doi.org/10.2307/2694247</w:t>
        </w:r>
      </w:hyperlink>
    </w:p>
    <w:bookmarkEnd w:id="121"/>
    <w:bookmarkStart w:id="122" w:name="ref-Fang2002"/>
    <w:p>
      <w:pPr>
        <w:pStyle w:val="Bibliography"/>
      </w:pPr>
      <w:r>
        <w:t xml:space="preserve">Fang, Y., Wang, J., Liang, R., Wang, J., Zhai, Z., Yang, C., 2002. Paleolithic artifacts discovered at fangniushan, jurong county, jiangsu province. Acta Anthropologica Sinica 21, 41–49.</w:t>
      </w:r>
    </w:p>
    <w:bookmarkEnd w:id="122"/>
    <w:bookmarkStart w:id="123" w:name="ref-gallotti2018emergence"/>
    <w:p>
      <w:pPr>
        <w:pStyle w:val="Bibliography"/>
      </w:pPr>
      <w:r>
        <w:t xml:space="preserve">Gallotti, R., Mussi, M., others, 2018. The emergence of the acheulean in east africa and beyond. Speringer, Cham.</w:t>
      </w:r>
    </w:p>
    <w:bookmarkEnd w:id="123"/>
    <w:bookmarkStart w:id="125" w:name="ref-Grieb2022"/>
    <w:p>
      <w:pPr>
        <w:pStyle w:val="Bibliography"/>
      </w:pPr>
      <w:r>
        <w:t xml:space="preserve">Grieb, J., Barbero-García, I., Lerma, J.L., 2022. Spherical harmonics to quantify cranial asymmetry in deformational plagiocephaly. Scientific Reports 12, 167.</w:t>
      </w:r>
      <w:r>
        <w:t xml:space="preserve"> </w:t>
      </w:r>
      <w:hyperlink r:id="rId124">
        <w:r>
          <w:rPr>
            <w:rStyle w:val="Hyperlink"/>
          </w:rPr>
          <w:t xml:space="preserve">https://doi.org/10.1038/s41598-021-04181-z</w:t>
        </w:r>
      </w:hyperlink>
    </w:p>
    <w:bookmarkEnd w:id="125"/>
    <w:bookmarkStart w:id="127"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6">
        <w:r>
          <w:rPr>
            <w:rStyle w:val="Hyperlink"/>
          </w:rPr>
          <w:t xml:space="preserve">https://doi.org/10.1007/s12520-025-02199-2</w:t>
        </w:r>
      </w:hyperlink>
    </w:p>
    <w:bookmarkEnd w:id="127"/>
    <w:bookmarkStart w:id="128" w:name="ref-Harper2022"/>
    <w:p>
      <w:pPr>
        <w:pStyle w:val="Bibliography"/>
      </w:pPr>
      <w:r>
        <w:t xml:space="preserve">Harper, C.M., Goldstein, D.M., Sylvester, A.D., 2022. Comparing and combining sliding semilandmarks and weighted spherical harmonics for shape analysis. Journal of anatomy 240, 678–687.</w:t>
      </w:r>
    </w:p>
    <w:bookmarkEnd w:id="128"/>
    <w:bookmarkStart w:id="130"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9">
        <w:r>
          <w:rPr>
            <w:rStyle w:val="Hyperlink"/>
          </w:rPr>
          <w:t xml:space="preserve">https://doi.org/10.1242/dev.202251</w:t>
        </w:r>
      </w:hyperlink>
    </w:p>
    <w:bookmarkEnd w:id="130"/>
    <w:bookmarkStart w:id="131" w:name="ref-Huang1964Sanmenxia"/>
    <w:p>
      <w:pPr>
        <w:pStyle w:val="Bibliography"/>
      </w:pPr>
      <w:r>
        <w:t xml:space="preserve">Huang, W., 1964. Paleolithic artifacts from the sanmenxia region in western henan. Vertebrata PalAsiatica 66–85.</w:t>
      </w:r>
    </w:p>
    <w:bookmarkEnd w:id="131"/>
    <w:bookmarkStart w:id="132" w:name="ref-inizan1999"/>
    <w:p>
      <w:pPr>
        <w:pStyle w:val="Bibliography"/>
      </w:pPr>
      <w:r>
        <w:t xml:space="preserve">Inizan, M.-L., Reduron-Ballinger, M., Roche, H., 1999. Technology and terminology of knapped stone, 5th ed. Cercle de Recherches et d’Études Préhistoriques, Nanterre.</w:t>
      </w:r>
    </w:p>
    <w:bookmarkEnd w:id="132"/>
    <w:bookmarkStart w:id="133"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33"/>
    <w:bookmarkStart w:id="134"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4"/>
    <w:bookmarkStart w:id="135" w:name="ref-Jia1962Kehe"/>
    <w:p>
      <w:pPr>
        <w:pStyle w:val="Bibliography"/>
      </w:pPr>
      <w:r>
        <w:t xml:space="preserve">Jia, L., 1962. Kehe: An early paleolithic cultural site in southwestern shanxi. Science Press.</w:t>
      </w:r>
    </w:p>
    <w:bookmarkEnd w:id="135"/>
    <w:bookmarkStart w:id="136" w:name="ref-Jia1959Xigou"/>
    <w:p>
      <w:pPr>
        <w:pStyle w:val="Bibliography"/>
      </w:pPr>
      <w:r>
        <w:t xml:space="preserve">Jia, L., 1959. A paleolithic cultural site at xigou, licun, quwo county, shanxi province. Kaogu (Archaeology) 6.</w:t>
      </w:r>
    </w:p>
    <w:bookmarkEnd w:id="136"/>
    <w:bookmarkStart w:id="137" w:name="ref-Jia1976Xujayao"/>
    <w:p>
      <w:pPr>
        <w:pStyle w:val="Bibliography"/>
      </w:pPr>
      <w:r>
        <w:t xml:space="preserve">Jia, L., Wei, Q., 1976. The paleolithic cultural site of xujayao, yanggao. Kaogu Xuebao (Acta Archaeologica Sinica) 24.</w:t>
      </w:r>
    </w:p>
    <w:bookmarkEnd w:id="137"/>
    <w:bookmarkStart w:id="138" w:name="ref-Jia1979Xujayao"/>
    <w:p>
      <w:pPr>
        <w:pStyle w:val="Bibliography"/>
      </w:pPr>
      <w:r>
        <w:t xml:space="preserve">Jia, L., Wei, Q., Li, C., 1979. Excavation report of the xujayao paleolithic cultural site in 1976. Vertebrata PalAsiatica 17–33, 87–90.</w:t>
      </w:r>
    </w:p>
    <w:bookmarkEnd w:id="138"/>
    <w:bookmarkStart w:id="139" w:name="ref-jones1994"/>
    <w:p>
      <w:pPr>
        <w:pStyle w:val="Bibliography"/>
      </w:pPr>
      <w:r>
        <w:t xml:space="preserve">Jones, P.R., others, 1994. Results of experimental work in relation to the stone industries of olduvai gorge. Olduvai gorge 5, 1968–1971.</w:t>
      </w:r>
    </w:p>
    <w:bookmarkEnd w:id="139"/>
    <w:bookmarkStart w:id="140"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40"/>
    <w:bookmarkStart w:id="141" w:name="ref-kuman2014large"/>
    <w:p>
      <w:pPr>
        <w:pStyle w:val="Bibliography"/>
      </w:pPr>
      <w:r>
        <w:t xml:space="preserve">Kuman, K., Li, C., Li, H., 2014. Large cutting tools in the danjiangkou reservoir region, central china. Journal of Human Evolution 76, 129–153.</w:t>
      </w:r>
    </w:p>
    <w:bookmarkEnd w:id="141"/>
    <w:bookmarkStart w:id="142" w:name="ref-leakey1979"/>
    <w:p>
      <w:pPr>
        <w:pStyle w:val="Bibliography"/>
      </w:pPr>
      <w:r>
        <w:t xml:space="preserve">Leakey, M.D., 1979. Olduvai gorge: My search for early man. William Collins, London.</w:t>
      </w:r>
    </w:p>
    <w:bookmarkEnd w:id="142"/>
    <w:bookmarkStart w:id="143" w:name="ref-leakey1971"/>
    <w:p>
      <w:pPr>
        <w:pStyle w:val="Bibliography"/>
      </w:pPr>
      <w:r>
        <w:t xml:space="preserve">Leakey, M.D., 1971. Olduvai gorge, vol. 3: Excavations in beds i and II, 1960–1963. Cambridge University Press, Cambridge.</w:t>
      </w:r>
    </w:p>
    <w:bookmarkEnd w:id="143"/>
    <w:bookmarkStart w:id="144" w:name="ref-Li1991"/>
    <w:p>
      <w:pPr>
        <w:pStyle w:val="Bibliography"/>
      </w:pPr>
      <w:r>
        <w:t xml:space="preserve">Li, C., Xu, C., 1991. Paleolithic artifacts discovered at the liao river in anyi, jiangxi, and their significance. Acta Anthropologica Sinica 10, 8.</w:t>
      </w:r>
    </w:p>
    <w:bookmarkEnd w:id="144"/>
    <w:bookmarkStart w:id="145"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5"/>
    <w:bookmarkStart w:id="146" w:name="ref-li2000"/>
    <w:p>
      <w:pPr>
        <w:pStyle w:val="Bibliography"/>
      </w:pPr>
      <w:r>
        <w:t xml:space="preserve">Li, R., Qiao, J., Qiu, W., Zhai, Q., Li, Y., 2000. Soluble salt deposit in the nihewan beds and its environmental significance. Science in China Series D: Earth Sciences 43, 464–479.</w:t>
      </w:r>
    </w:p>
    <w:bookmarkEnd w:id="146"/>
    <w:bookmarkStart w:id="147"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7"/>
    <w:bookmarkStart w:id="148" w:name="ref-lin2024"/>
    <w:p>
      <w:pPr>
        <w:pStyle w:val="Bibliography"/>
      </w:pPr>
      <w:r>
        <w:t xml:space="preserve">Lin, S.C., 2024. A new method for quantifying flake scar organisation on cores using orientation statistics. Journal of Archaeological Science.</w:t>
      </w:r>
    </w:p>
    <w:bookmarkEnd w:id="148"/>
    <w:bookmarkStart w:id="149"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9"/>
    <w:bookmarkStart w:id="150" w:name="ref-Liu1984Jingchuan"/>
    <w:p>
      <w:pPr>
        <w:pStyle w:val="Bibliography"/>
      </w:pPr>
      <w:r>
        <w:t xml:space="preserve">Liu, Y., Huang, W., Lin, Y., 1984. Human fossils and paleolithic artifacts discovered in jingchuan, gansu province. Acta Anthropologica Sinica 11.</w:t>
      </w:r>
    </w:p>
    <w:bookmarkEnd w:id="150"/>
    <w:bookmarkStart w:id="151" w:name="ref-LixianMuseum1992"/>
    <w:p>
      <w:pPr>
        <w:pStyle w:val="Bibliography"/>
      </w:pPr>
      <w:r>
        <w:t xml:space="preserve">Lixian County Museum, 1992. A brief report on the paleolithic localities at zhangjiatan and xiangong in lixian, hunan province. Huaxia Archaeology 8.</w:t>
      </w:r>
    </w:p>
    <w:bookmarkEnd w:id="151"/>
    <w:bookmarkStart w:id="152" w:name="ref-Lu2021Spheroids"/>
    <w:p>
      <w:pPr>
        <w:pStyle w:val="Bibliography"/>
      </w:pPr>
      <w:r>
        <w:t xml:space="preserve">Lu, L., Dong, B., Chen, S., 2021. An experimental study on stone spheroids from the paleolithic period in china. Acta Anthropologica Sinica 40, 13.</w:t>
      </w:r>
    </w:p>
    <w:bookmarkEnd w:id="152"/>
    <w:bookmarkStart w:id="153"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53"/>
    <w:bookmarkStart w:id="155"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4">
        <w:r>
          <w:rPr>
            <w:rStyle w:val="Hyperlink"/>
          </w:rPr>
          <w:t xml:space="preserve">https://doi.org/10.1016/j.jas.2012.11.005</w:t>
        </w:r>
      </w:hyperlink>
    </w:p>
    <w:bookmarkEnd w:id="155"/>
    <w:bookmarkStart w:id="156" w:name="ref-Ma2011Xujayao"/>
    <w:p>
      <w:pPr>
        <w:pStyle w:val="Bibliography"/>
      </w:pPr>
      <w:r>
        <w:t xml:space="preserve">Ma, N., Pei, S., Gao, X., 2011. Study of lithic artifacts excavated from locality 74093 at the xujayao site in 1977. Acta Anthropologica Sinica 30, 14.</w:t>
      </w:r>
    </w:p>
    <w:bookmarkEnd w:id="156"/>
    <w:bookmarkStart w:id="157"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7"/>
    <w:bookmarkStart w:id="159"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8">
        <w:r>
          <w:rPr>
            <w:rStyle w:val="Hyperlink"/>
          </w:rPr>
          <w:t xml:space="preserve">https://doi.org/10.1016/j.jaa.2004.12.001</w:t>
        </w:r>
      </w:hyperlink>
    </w:p>
    <w:bookmarkEnd w:id="159"/>
    <w:bookmarkStart w:id="160"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60"/>
    <w:bookmarkStart w:id="162" w:name="ref-muller2023"/>
    <w:p>
      <w:pPr>
        <w:pStyle w:val="Bibliography"/>
      </w:pPr>
      <w:r>
        <w:t xml:space="preserve">Muller, A., Clarkson, C., 2023. Filling in the blanks: Standardization of lithic flake production throughout the stone age. Lithic Technology 48, 222–236.</w:t>
      </w:r>
      <w:r>
        <w:t xml:space="preserve"> </w:t>
      </w:r>
      <w:hyperlink r:id="rId161">
        <w:r>
          <w:rPr>
            <w:rStyle w:val="Hyperlink"/>
          </w:rPr>
          <w:t xml:space="preserve">https://doi.org/10.1080/01977261.2022.2103290</w:t>
        </w:r>
      </w:hyperlink>
    </w:p>
    <w:bookmarkEnd w:id="162"/>
    <w:bookmarkStart w:id="164"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63">
        <w:r>
          <w:rPr>
            <w:rStyle w:val="Hyperlink"/>
          </w:rPr>
          <w:t xml:space="preserve">https://doi.org/10.1016/j.quaint.2025.109681</w:t>
        </w:r>
      </w:hyperlink>
    </w:p>
    <w:bookmarkEnd w:id="164"/>
    <w:bookmarkStart w:id="165"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5"/>
    <w:bookmarkStart w:id="166"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6"/>
    <w:bookmarkStart w:id="168"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7">
        <w:r>
          <w:rPr>
            <w:rStyle w:val="Hyperlink"/>
          </w:rPr>
          <w:t xml:space="preserve">https://doi.org/10.1016/j.palaeo.2019.05.014</w:t>
        </w:r>
      </w:hyperlink>
    </w:p>
    <w:bookmarkEnd w:id="168"/>
    <w:bookmarkStart w:id="169" w:name="ref-pei2002"/>
    <w:p>
      <w:pPr>
        <w:pStyle w:val="Bibliography"/>
      </w:pPr>
      <w:r>
        <w:t xml:space="preserve">Pei, S., Hou, Y., 2002. Preliminary study on raw materials exploitation at donggutuo site, nihewan basin, north china. Acta Anthropologica Sinica 21, 53–66.</w:t>
      </w:r>
    </w:p>
    <w:bookmarkEnd w:id="169"/>
    <w:bookmarkStart w:id="170"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70"/>
    <w:bookmarkStart w:id="172"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71">
        <w:r>
          <w:rPr>
            <w:rStyle w:val="Hyperlink"/>
          </w:rPr>
          <w:t xml:space="preserve">https://doi.org/10.1371/journal.pone.0187251</w:t>
        </w:r>
      </w:hyperlink>
    </w:p>
    <w:bookmarkEnd w:id="172"/>
    <w:bookmarkStart w:id="174"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73">
        <w:r>
          <w:rPr>
            <w:rStyle w:val="Hyperlink"/>
          </w:rPr>
          <w:t xml:space="preserve">https://doi.org/10.1006/jasc.1996.0152</w:t>
        </w:r>
      </w:hyperlink>
    </w:p>
    <w:bookmarkEnd w:id="174"/>
    <w:bookmarkStart w:id="175"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5"/>
    <w:bookmarkStart w:id="176" w:name="ref-SXA2014Dingcun"/>
    <w:p>
      <w:pPr>
        <w:pStyle w:val="Bibliography"/>
      </w:pPr>
      <w:r>
        <w:t xml:space="preserve">Shanxi Provincial Institute of Archaeology, 2014. The dingcun paleolithic site complex: Excavation report of the dingcun sites (1976–1980). Cultural Relics Publishing House.</w:t>
      </w:r>
    </w:p>
    <w:bookmarkEnd w:id="176"/>
    <w:bookmarkStart w:id="177" w:name="ref-shipton2019were"/>
    <w:p>
      <w:pPr>
        <w:pStyle w:val="Bibliography"/>
      </w:pPr>
      <w:r>
        <w:t xml:space="preserve">Shipton, C., Clarkson, C., Cobden, R., 2019. Were acheulean bifaces deliberately made symmetrical? Archaeological and experimental evidence. Cambridge Archaeological Journal 29, 65–79.</w:t>
      </w:r>
    </w:p>
    <w:bookmarkEnd w:id="177"/>
    <w:bookmarkStart w:id="178"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8"/>
    <w:bookmarkStart w:id="180" w:name="ref-stout2015"/>
    <w:p>
      <w:pPr>
        <w:pStyle w:val="Bibliography"/>
      </w:pPr>
      <w:r>
        <w:t xml:space="preserve">Stout, D., Hecht, E., Khreisheh, N., Bradley, B., Chaminade, T., 2015. Cognitive Demands of Lower Paleolithic Toolmaking. PLOS ONE 10, e0121804.</w:t>
      </w:r>
      <w:r>
        <w:t xml:space="preserve"> </w:t>
      </w:r>
      <w:hyperlink r:id="rId179">
        <w:r>
          <w:rPr>
            <w:rStyle w:val="Hyperlink"/>
          </w:rPr>
          <w:t xml:space="preserve">https://doi.org/10.1371/journal.pone.0121804</w:t>
        </w:r>
      </w:hyperlink>
    </w:p>
    <w:bookmarkEnd w:id="180"/>
    <w:bookmarkStart w:id="181" w:name="ref-Tan1999"/>
    <w:p>
      <w:pPr>
        <w:pStyle w:val="Bibliography"/>
      </w:pPr>
      <w:r>
        <w:t xml:space="preserve">Tan, Y., 1999. A report on the paleolithic locality on the northern slope of huzhua mountain. Hunan Archaeological Journal 15.</w:t>
      </w:r>
    </w:p>
    <w:bookmarkEnd w:id="181"/>
    <w:bookmarkStart w:id="182" w:name="ref-Tao1984Dingcun"/>
    <w:p>
      <w:pPr>
        <w:pStyle w:val="Bibliography"/>
      </w:pPr>
      <w:r>
        <w:t xml:space="preserve">Tao, F., Liang, Z., Xie, X., Yin, Z., Ding, W., Hu, W., Ding, S., Yang, F., Yin, L., Xie, X., 1984. Excavation report of locality 80:01 at the dingcun paleolithic site. Prehistoric Research 57–68.</w:t>
      </w:r>
    </w:p>
    <w:bookmarkEnd w:id="182"/>
    <w:bookmarkStart w:id="183"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83"/>
    <w:bookmarkStart w:id="185"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84">
        <w:r>
          <w:rPr>
            <w:rStyle w:val="Hyperlink"/>
          </w:rPr>
          <w:t xml:space="preserve">https://doi.org/10.1371/journal.pone.0228290</w:t>
        </w:r>
      </w:hyperlink>
    </w:p>
    <w:bookmarkEnd w:id="185"/>
    <w:bookmarkStart w:id="187"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6">
        <w:r>
          <w:rPr>
            <w:rStyle w:val="Hyperlink"/>
          </w:rPr>
          <w:t xml:space="preserve">https://doi.org/10.1007/s10816-017-9339-x</w:t>
        </w:r>
      </w:hyperlink>
    </w:p>
    <w:bookmarkEnd w:id="187"/>
    <w:bookmarkStart w:id="189"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8">
        <w:r>
          <w:rPr>
            <w:rStyle w:val="Hyperlink"/>
          </w:rPr>
          <w:t xml:space="preserve">https://doi.org/10.1086/624298</w:t>
        </w:r>
      </w:hyperlink>
    </w:p>
    <w:bookmarkEnd w:id="189"/>
    <w:bookmarkStart w:id="190" w:name="ref-Wang2016Houjiayao"/>
    <w:p>
      <w:pPr>
        <w:pStyle w:val="Bibliography"/>
      </w:pPr>
      <w:r>
        <w:t xml:space="preserve">Wang, F., 2016. Comprehensive study of the houjiayao site (Ph.D. dissertation). Hebei Normal University.</w:t>
      </w:r>
    </w:p>
    <w:bookmarkEnd w:id="190"/>
    <w:bookmarkStart w:id="191" w:name="ref-Wang2000Yaoshi"/>
    <w:p>
      <w:pPr>
        <w:pStyle w:val="Bibliography"/>
      </w:pPr>
      <w:r>
        <w:t xml:space="preserve">Wang, S., Hu, S., 2000. Paleolithic artifacts from the yaoshi basin, upper danjiang river. Kaogu yu Wenwu (Archaeology and Cultural Relics) 7.</w:t>
      </w:r>
    </w:p>
    <w:bookmarkEnd w:id="191"/>
    <w:bookmarkStart w:id="192"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92"/>
    <w:bookmarkStart w:id="193"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93"/>
    <w:bookmarkStart w:id="194" w:name="ref-Wang2010Jinstai"/>
    <w:p>
      <w:pPr>
        <w:pStyle w:val="Bibliography"/>
      </w:pPr>
      <w:r>
        <w:t xml:space="preserve">Wang, X., Wei, J., Chen, Q., Tang, Z., Wang, C., 2010. Excavation report of the jinstai cave site, inner mongolia. Acta Anthropologica Sinica 18.</w:t>
      </w:r>
    </w:p>
    <w:bookmarkEnd w:id="194"/>
    <w:bookmarkStart w:id="195" w:name="ref-Wei1984"/>
    <w:p>
      <w:pPr>
        <w:pStyle w:val="Bibliography"/>
      </w:pPr>
      <w:r>
        <w:t xml:space="preserve">Wei, Q., Huang, W., Zhang, X., 1984. Newly discovered paleolithic artifacts at mujiaqiao, lijiang. Acta Anthropologica Sinica 11.</w:t>
      </w:r>
    </w:p>
    <w:bookmarkEnd w:id="195"/>
    <w:bookmarkStart w:id="196" w:name="ref-wieczorek2018shtools"/>
    <w:p>
      <w:pPr>
        <w:pStyle w:val="Bibliography"/>
      </w:pPr>
      <w:r>
        <w:t xml:space="preserve">Wieczorek, M.A., Meschede, M., 2018. SHTools: Tools for working with spherical harmonics. Geochemistry, Geophysics, Geosystems 19, 2574–2592.</w:t>
      </w:r>
    </w:p>
    <w:bookmarkEnd w:id="196"/>
    <w:bookmarkStart w:id="198" w:name="ref-willoughby1985"/>
    <w:p>
      <w:pPr>
        <w:pStyle w:val="Bibliography"/>
      </w:pPr>
      <w:r>
        <w:t xml:space="preserve">Willoughby, P.R., 1985. Spheroids and battered stones in the African Early Stone Age. World Archaeology 17, 44–60.</w:t>
      </w:r>
      <w:r>
        <w:t xml:space="preserve"> </w:t>
      </w:r>
      <w:hyperlink r:id="rId197">
        <w:r>
          <w:rPr>
            <w:rStyle w:val="Hyperlink"/>
          </w:rPr>
          <w:t xml:space="preserve">https://doi.org/10.1080/00438243.1985.9979949</w:t>
        </w:r>
      </w:hyperlink>
    </w:p>
    <w:bookmarkEnd w:id="198"/>
    <w:bookmarkStart w:id="199" w:name="ref-Wu1989Dangcheng"/>
    <w:p>
      <w:pPr>
        <w:pStyle w:val="Bibliography"/>
      </w:pPr>
      <w:r>
        <w:t xml:space="preserve">Wu, Z., Sun, B., 1989. Preliminary study of the paleolithic cave site complex at dangcheng, heshun county, shanxi province. Acta Anthropologica Sinica 8, 12.</w:t>
      </w:r>
    </w:p>
    <w:bookmarkEnd w:id="199"/>
    <w:bookmarkStart w:id="200" w:name="ref-wynn1995"/>
    <w:p>
      <w:pPr>
        <w:pStyle w:val="Bibliography"/>
      </w:pPr>
      <w:r>
        <w:t xml:space="preserve">Wynn, T., 1995. Handaxe enigmas. World Archaeology 27, 10–24.</w:t>
      </w:r>
    </w:p>
    <w:bookmarkEnd w:id="200"/>
    <w:bookmarkStart w:id="201" w:name="ref-Xi1994"/>
    <w:p>
      <w:pPr>
        <w:pStyle w:val="Bibliography"/>
      </w:pPr>
      <w:r>
        <w:t xml:space="preserve">Xi, D., 1994. A report on the paleolithic survey in the lower reaches of the yuan river. Hunan Archaeological Journal 6.</w:t>
      </w:r>
    </w:p>
    <w:bookmarkEnd w:id="201"/>
    <w:bookmarkStart w:id="202"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202"/>
    <w:bookmarkStart w:id="203" w:name="ref-XiaokongshanTeam1988"/>
    <w:p>
      <w:pPr>
        <w:pStyle w:val="Bibliography"/>
      </w:pPr>
      <w:r>
        <w:t xml:space="preserve">Xiaokongshan Joint Excavation Team, 1988. Excavation report of the xiaokongshan paleolithic site in nanzhao, henan, in 1987. Huaxia Archaeology 15.</w:t>
      </w:r>
    </w:p>
    <w:bookmarkEnd w:id="203"/>
    <w:bookmarkStart w:id="204" w:name="ref-Xie1982Liujiacha"/>
    <w:p>
      <w:pPr>
        <w:pStyle w:val="Bibliography"/>
      </w:pPr>
      <w:r>
        <w:t xml:space="preserve">Xie, J., 1982. The paleolithic site at liujiacha, huan county, gansu province. Kaogu Xuebao (Acta Archaeologica Sinica) 16.</w:t>
      </w:r>
    </w:p>
    <w:bookmarkEnd w:id="204"/>
    <w:bookmarkStart w:id="206"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205">
        <w:r>
          <w:rPr>
            <w:rStyle w:val="Hyperlink"/>
          </w:rPr>
          <w:t xml:space="preserve">https://doi.org/10.1002/evan.21813</w:t>
        </w:r>
      </w:hyperlink>
    </w:p>
    <w:bookmarkEnd w:id="206"/>
    <w:bookmarkStart w:id="207"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7"/>
    <w:bookmarkStart w:id="209"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8">
        <w:r>
          <w:rPr>
            <w:rStyle w:val="Hyperlink"/>
          </w:rPr>
          <w:t xml:space="preserve">https://doi.org/10.1371/journal.pone.0185101</w:t>
        </w:r>
      </w:hyperlink>
    </w:p>
    <w:bookmarkEnd w:id="209"/>
    <w:bookmarkStart w:id="211" w:name="ref-ye2025workflow"/>
    <w:p>
      <w:pPr>
        <w:pStyle w:val="Bibliography"/>
      </w:pPr>
      <w:r>
        <w:t xml:space="preserve">Ye, Zhi, Lin, S., Marwick, B., 2025. Workflow for marking and exporting lithic scar orientations using geomagic wrap and rhino. https://www.protocols.io/.</w:t>
      </w:r>
      <w:r>
        <w:t xml:space="preserve"> </w:t>
      </w:r>
      <w:hyperlink r:id="rId210">
        <w:r>
          <w:rPr>
            <w:rStyle w:val="Hyperlink"/>
          </w:rPr>
          <w:t xml:space="preserve">https://doi.org/10.17504/protocols.io.rm7vz1dj8lx1/v1</w:t>
        </w:r>
      </w:hyperlink>
    </w:p>
    <w:bookmarkEnd w:id="211"/>
    <w:bookmarkStart w:id="212"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12"/>
    <w:bookmarkStart w:id="214" w:name="ref-Ye2025Qianshangying"/>
    <w:p>
      <w:pPr>
        <w:pStyle w:val="Bibliography"/>
      </w:pPr>
      <w:r>
        <w:t xml:space="preserve">Ye, Z., Pei, S.W., Ma, D.D., Jia, Z.X., Wang, F.G., Yang, H.Y., 2025. Preliminary report on the excavation of qianshangying-b paleolithic site at yuxian in the nihewan basin. Acta Anthropologica Sinica 44.</w:t>
      </w:r>
      <w:r>
        <w:t xml:space="preserve"> </w:t>
      </w:r>
      <w:hyperlink r:id="rId213">
        <w:r>
          <w:rPr>
            <w:rStyle w:val="Hyperlink"/>
          </w:rPr>
          <w:t xml:space="preserve">https://doi.org/10.xxxx/aas.2025.xxxx</w:t>
        </w:r>
      </w:hyperlink>
    </w:p>
    <w:bookmarkEnd w:id="214"/>
    <w:bookmarkStart w:id="215" w:name="ref-Yi2012Spheroids"/>
    <w:p>
      <w:pPr>
        <w:pStyle w:val="Bibliography"/>
      </w:pPr>
      <w:r>
        <w:t xml:space="preserve">Yi, M., Gao, X., Pei, S., 2012. A preliminary analysis of the definition, classification, and function of stone spheroids. Acta Anthropologica Sinica 31, 9.</w:t>
      </w:r>
    </w:p>
    <w:bookmarkEnd w:id="215"/>
    <w:bookmarkStart w:id="216"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16"/>
    <w:bookmarkStart w:id="217"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7"/>
    <w:bookmarkStart w:id="218" w:name="ref-zhou1991study"/>
    <w:p>
      <w:pPr>
        <w:pStyle w:val="Bibliography"/>
      </w:pPr>
      <w:r>
        <w:t xml:space="preserve">Zhou, T., Li, H., Liu, Q., Li, R., Sun, X., 1991. Study on the cenozoic paleogeograpgy of nihewan basin. Science, Beijing.(in Chinese).</w:t>
      </w:r>
    </w:p>
    <w:bookmarkEnd w:id="218"/>
    <w:bookmarkStart w:id="220"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9">
        <w:r>
          <w:rPr>
            <w:rStyle w:val="Hyperlink"/>
          </w:rPr>
          <w:t xml:space="preserve">https://doi.org/10.1038/35096551</w:t>
        </w:r>
      </w:hyperlink>
    </w:p>
    <w:bookmarkEnd w:id="220"/>
    <w:bookmarkStart w:id="222"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21">
        <w:r>
          <w:rPr>
            <w:rStyle w:val="Hyperlink"/>
          </w:rPr>
          <w:t xml:space="preserve">https://doi.org/10.1038/nature02829</w:t>
        </w:r>
      </w:hyperlink>
    </w:p>
    <w:bookmarkEnd w:id="222"/>
    <w:bookmarkEnd w:id="223"/>
    <w:p>
      <w:r>
        <w:br w:type="page"/>
      </w:r>
    </w:p>
    <w:bookmarkStart w:id="224" w:name="colophon"/>
    <w:p>
      <w:pPr>
        <w:pStyle w:val="Heading3"/>
      </w:pPr>
      <w:r>
        <w:t xml:space="preserve">12.0.1 Colophon</w:t>
      </w:r>
    </w:p>
    <w:p>
      <w:pPr>
        <w:pStyle w:val="FirstParagraph"/>
      </w:pPr>
      <w:r>
        <w:t xml:space="preserve">This report was generated on 2025-09-25 13:11:58.72837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4.5.1 (2025-06-13)</w:t>
      </w:r>
      <w:r>
        <w:br/>
      </w:r>
      <w:r>
        <w:rPr>
          <w:rStyle w:val="VerbatimChar"/>
        </w:rPr>
        <w:t xml:space="preserve"> os       macOS Ventura 13.3.1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2025-09-25</w:t>
      </w:r>
      <w:r>
        <w:br/>
      </w:r>
      <w:r>
        <w:rPr>
          <w:rStyle w:val="VerbatimChar"/>
        </w:rPr>
        <w:t xml:space="preserve"> pandoc   3.6.3 @ /Applications/RStudio.app/Contents/Resources/app/quarto/bin/tools/aarch64/ (via rmarkdown)</w:t>
      </w:r>
      <w:r>
        <w:br/>
      </w:r>
      <w:r>
        <w:rPr>
          <w:rStyle w:val="VerbatimChar"/>
        </w:rPr>
        <w:t xml:space="preserve"> quarto   1.4.549 @ /usr/local/bin/quarto</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CRAN (R 4.5.0)</w:t>
      </w:r>
      <w:r>
        <w:br/>
      </w:r>
      <w:r>
        <w:rPr>
          <w:rStyle w:val="VerbatimChar"/>
        </w:rPr>
        <w:t xml:space="preserve"> ash            1.0-15   2015-09-01 [1] CRAN (R 4.5.0)</w:t>
      </w:r>
      <w:r>
        <w:br/>
      </w:r>
      <w:r>
        <w:rPr>
          <w:rStyle w:val="VerbatimChar"/>
        </w:rPr>
        <w:t xml:space="preserve"> backports      1.5.0    2024-05-23 [1] CRAN (R 4.5.0)</w:t>
      </w:r>
      <w:r>
        <w:br/>
      </w:r>
      <w:r>
        <w:rPr>
          <w:rStyle w:val="VerbatimChar"/>
        </w:rPr>
        <w:t xml:space="preserve"> base64enc      0.1-3    2015-07-28 [1] CRAN (R 4.5.0)</w:t>
      </w:r>
      <w:r>
        <w:br/>
      </w:r>
      <w:r>
        <w:rPr>
          <w:rStyle w:val="VerbatimChar"/>
        </w:rPr>
        <w:t xml:space="preserve"> bayesm         3.1-6    2023-09-23 [1] CRAN (R 4.5.0)</w:t>
      </w:r>
      <w:r>
        <w:br/>
      </w:r>
      <w:r>
        <w:rPr>
          <w:rStyle w:val="VerbatimChar"/>
        </w:rPr>
        <w:t xml:space="preserve"> bit            4.6.0    2025-03-06 [1] CRAN (R 4.5.0)</w:t>
      </w:r>
      <w:r>
        <w:br/>
      </w:r>
      <w:r>
        <w:rPr>
          <w:rStyle w:val="VerbatimChar"/>
        </w:rPr>
        <w:t xml:space="preserve"> bit64          4.6.0-1  2025-01-16 [1] CRAN (R 4.5.0)</w:t>
      </w:r>
      <w:r>
        <w:br/>
      </w:r>
      <w:r>
        <w:rPr>
          <w:rStyle w:val="VerbatimChar"/>
        </w:rPr>
        <w:t xml:space="preserve"> boot           1.3-31   2024-08-28 [1] CRAN (R 4.5.1)</w:t>
      </w:r>
      <w:r>
        <w:br/>
      </w:r>
      <w:r>
        <w:rPr>
          <w:rStyle w:val="VerbatimChar"/>
        </w:rPr>
        <w:t xml:space="preserve"> broom          1.0.8    2025-03-28 [1] CRAN (R 4.5.0)</w:t>
      </w:r>
      <w:r>
        <w:br/>
      </w:r>
      <w:r>
        <w:rPr>
          <w:rStyle w:val="VerbatimChar"/>
        </w:rPr>
        <w:t xml:space="preserve"> cachem         1.1.0    2024-05-16 [1] CRAN (R 4.5.0)</w:t>
      </w:r>
      <w:r>
        <w:br/>
      </w:r>
      <w:r>
        <w:rPr>
          <w:rStyle w:val="VerbatimChar"/>
        </w:rPr>
        <w:t xml:space="preserve"> car            3.1-3    2024-09-27 [1] CRAN (R 4.5.0)</w:t>
      </w:r>
      <w:r>
        <w:br/>
      </w:r>
      <w:r>
        <w:rPr>
          <w:rStyle w:val="VerbatimChar"/>
        </w:rPr>
        <w:t xml:space="preserve"> carData        3.0-5    2022-01-06 [1] CRAN (R 4.5.0)</w:t>
      </w:r>
      <w:r>
        <w:br/>
      </w:r>
      <w:r>
        <w:rPr>
          <w:rStyle w:val="VerbatimChar"/>
        </w:rPr>
        <w:t xml:space="preserve"> cellranger     1.1.0    2016-07-27 [1] CRAN (R 4.5.0)</w:t>
      </w:r>
      <w:r>
        <w:br/>
      </w:r>
      <w:r>
        <w:rPr>
          <w:rStyle w:val="VerbatimChar"/>
        </w:rPr>
        <w:t xml:space="preserve"> checkmate      2.3.2    2024-07-29 [1] CRAN (R 4.5.0)</w:t>
      </w:r>
      <w:r>
        <w:br/>
      </w:r>
      <w:r>
        <w:rPr>
          <w:rStyle w:val="VerbatimChar"/>
        </w:rPr>
        <w:t xml:space="preserve"> circular     * 0.5-1    2024-08-29 [1] CRAN (R 4.5.0)</w:t>
      </w:r>
      <w:r>
        <w:br/>
      </w:r>
      <w:r>
        <w:rPr>
          <w:rStyle w:val="VerbatimChar"/>
        </w:rPr>
        <w:t xml:space="preserve"> cli            3.6.5    2025-04-23 [1] CRAN (R 4.5.0)</w:t>
      </w:r>
      <w:r>
        <w:br/>
      </w:r>
      <w:r>
        <w:rPr>
          <w:rStyle w:val="VerbatimChar"/>
        </w:rPr>
        <w:t xml:space="preserve"> cluster        2.1.8.1  2025-03-12 [1] CRAN (R 4.5.1)</w:t>
      </w:r>
      <w:r>
        <w:br/>
      </w:r>
      <w:r>
        <w:rPr>
          <w:rStyle w:val="VerbatimChar"/>
        </w:rPr>
        <w:t xml:space="preserve"> colorspace     2.1-1    2024-07-26 [1] CRAN (R 4.5.0)</w:t>
      </w:r>
      <w:r>
        <w:br/>
      </w:r>
      <w:r>
        <w:rPr>
          <w:rStyle w:val="VerbatimChar"/>
        </w:rPr>
        <w:t xml:space="preserve"> compositions   2.0-8    2024-01-31 [1] CRAN (R 4.5.0)</w:t>
      </w:r>
      <w:r>
        <w:br/>
      </w:r>
      <w:r>
        <w:rPr>
          <w:rStyle w:val="VerbatimChar"/>
        </w:rPr>
        <w:t xml:space="preserve"> cowplot      * 1.1.3    2024-01-22 [1] CRAN (R 4.5.0)</w:t>
      </w:r>
      <w:r>
        <w:br/>
      </w:r>
      <w:r>
        <w:rPr>
          <w:rStyle w:val="VerbatimChar"/>
        </w:rPr>
        <w:t xml:space="preserve"> crayon         1.5.3    2024-06-20 [1] CRAN (R 4.5.0)</w:t>
      </w:r>
      <w:r>
        <w:br/>
      </w:r>
      <w:r>
        <w:rPr>
          <w:rStyle w:val="VerbatimChar"/>
        </w:rPr>
        <w:t xml:space="preserve"> data.table   * 1.17.0   2025-02-22 [1] CRAN (R 4.5.0)</w:t>
      </w:r>
      <w:r>
        <w:br/>
      </w:r>
      <w:r>
        <w:rPr>
          <w:rStyle w:val="VerbatimChar"/>
        </w:rPr>
        <w:t xml:space="preserve"> DEoptimR       1.1-3-1  2024-11-23 [1] CRAN (R 4.5.0)</w:t>
      </w:r>
      <w:r>
        <w:br/>
      </w:r>
      <w:r>
        <w:rPr>
          <w:rStyle w:val="VerbatimChar"/>
        </w:rPr>
        <w:t xml:space="preserve"> devtools       2.4.5    2022-10-11 [1] CRAN (R 4.5.0)</w:t>
      </w:r>
      <w:r>
        <w:br/>
      </w:r>
      <w:r>
        <w:rPr>
          <w:rStyle w:val="VerbatimChar"/>
        </w:rPr>
        <w:t xml:space="preserve"> digest         0.6.37   2024-08-19 [1] CRAN (R 4.5.0)</w:t>
      </w:r>
      <w:r>
        <w:br/>
      </w:r>
      <w:r>
        <w:rPr>
          <w:rStyle w:val="VerbatimChar"/>
        </w:rPr>
        <w:t xml:space="preserve"> dplyr        * 1.1.4    2023-11-17 [1] CRAN (R 4.5.0)</w:t>
      </w:r>
      <w:r>
        <w:br/>
      </w:r>
      <w:r>
        <w:rPr>
          <w:rStyle w:val="VerbatimChar"/>
        </w:rPr>
        <w:t xml:space="preserve"> ellipsis       0.3.2    2021-04-29 [1] CRAN (R 4.5.0)</w:t>
      </w:r>
      <w:r>
        <w:br/>
      </w:r>
      <w:r>
        <w:rPr>
          <w:rStyle w:val="VerbatimChar"/>
        </w:rPr>
        <w:t xml:space="preserve"> evaluate       1.0.3    2025-01-10 [1] CRAN (R 4.5.0)</w:t>
      </w:r>
      <w:r>
        <w:br/>
      </w:r>
      <w:r>
        <w:rPr>
          <w:rStyle w:val="VerbatimChar"/>
        </w:rPr>
        <w:t xml:space="preserve"> extrafont      0.19     2023-01-18 [1] CRAN (R 4.5.0)</w:t>
      </w:r>
      <w:r>
        <w:br/>
      </w:r>
      <w:r>
        <w:rPr>
          <w:rStyle w:val="VerbatimChar"/>
        </w:rPr>
        <w:t xml:space="preserve"> extrafontdb    1.0      2012-06-11 [1] CRAN (R 4.5.0)</w:t>
      </w:r>
      <w:r>
        <w:br/>
      </w:r>
      <w:r>
        <w:rPr>
          <w:rStyle w:val="VerbatimChar"/>
        </w:rPr>
        <w:t xml:space="preserve"> farver         2.1.2    2024-05-13 [1] CRAN (R 4.5.0)</w:t>
      </w:r>
      <w:r>
        <w:br/>
      </w:r>
      <w:r>
        <w:rPr>
          <w:rStyle w:val="VerbatimChar"/>
        </w:rPr>
        <w:t xml:space="preserve"> fastmap        1.2.0    2024-05-15 [1] CRAN (R 4.5.0)</w:t>
      </w:r>
      <w:r>
        <w:br/>
      </w:r>
      <w:r>
        <w:rPr>
          <w:rStyle w:val="VerbatimChar"/>
        </w:rPr>
        <w:t xml:space="preserve"> forcats      * 1.0.0    2023-01-29 [1] CRAN (R 4.5.0)</w:t>
      </w:r>
      <w:r>
        <w:br/>
      </w:r>
      <w:r>
        <w:rPr>
          <w:rStyle w:val="VerbatimChar"/>
        </w:rPr>
        <w:t xml:space="preserve"> foreign        0.8-90   2025-03-31 [1] CRAN (R 4.5.1)</w:t>
      </w:r>
      <w:r>
        <w:br/>
      </w:r>
      <w:r>
        <w:rPr>
          <w:rStyle w:val="VerbatimChar"/>
        </w:rPr>
        <w:t xml:space="preserve"> Formula        1.2-5    2023-02-24 [1] CRAN (R 4.5.0)</w:t>
      </w:r>
      <w:r>
        <w:br/>
      </w:r>
      <w:r>
        <w:rPr>
          <w:rStyle w:val="VerbatimChar"/>
        </w:rPr>
        <w:t xml:space="preserve"> fs             1.6.6    2025-04-12 [1] CRAN (R 4.5.0)</w:t>
      </w:r>
      <w:r>
        <w:br/>
      </w:r>
      <w:r>
        <w:rPr>
          <w:rStyle w:val="VerbatimChar"/>
        </w:rPr>
        <w:t xml:space="preserve"> generics       0.1.3    2022-07-05 [1] CRAN (R 4.5.0)</w:t>
      </w:r>
      <w:r>
        <w:br/>
      </w:r>
      <w:r>
        <w:rPr>
          <w:rStyle w:val="VerbatimChar"/>
        </w:rPr>
        <w:t xml:space="preserve"> ggalt        * 0.4.0    2017-02-15 [1] CRAN (R 4.5.0)</w:t>
      </w:r>
      <w:r>
        <w:br/>
      </w:r>
      <w:r>
        <w:rPr>
          <w:rStyle w:val="VerbatimChar"/>
        </w:rPr>
        <w:t xml:space="preserve"> ggcorrplot   * 0.1.4.1  2023-09-05 [1] CRAN (R 4.5.0)</w:t>
      </w:r>
      <w:r>
        <w:br/>
      </w:r>
      <w:r>
        <w:rPr>
          <w:rStyle w:val="VerbatimChar"/>
        </w:rPr>
        <w:t xml:space="preserve"> ggforce      * 0.4.2    2024-02-19 [1] CRAN (R 4.5.0)</w:t>
      </w:r>
      <w:r>
        <w:br/>
      </w:r>
      <w:r>
        <w:rPr>
          <w:rStyle w:val="VerbatimChar"/>
        </w:rPr>
        <w:t xml:space="preserve"> ggfun          0.2.0    2025-07-15 [1] CRAN (R 4.5.0)</w:t>
      </w:r>
      <w:r>
        <w:br/>
      </w:r>
      <w:r>
        <w:rPr>
          <w:rStyle w:val="VerbatimChar"/>
        </w:rPr>
        <w:t xml:space="preserve"> ggimage      * 0.3.3    2023-06-19 [1] CRAN (R 4.5.0)</w:t>
      </w:r>
      <w:r>
        <w:br/>
      </w:r>
      <w:r>
        <w:rPr>
          <w:rStyle w:val="VerbatimChar"/>
        </w:rPr>
        <w:t xml:space="preserve"> ggplot2      * 3.5.2    2025-04-09 [1] CRAN (R 4.5.0)</w:t>
      </w:r>
      <w:r>
        <w:br/>
      </w:r>
      <w:r>
        <w:rPr>
          <w:rStyle w:val="VerbatimChar"/>
        </w:rPr>
        <w:t xml:space="preserve"> ggplotify      0.1.2    2023-08-09 [1] CRAN (R 4.5.0)</w:t>
      </w:r>
      <w:r>
        <w:br/>
      </w:r>
      <w:r>
        <w:rPr>
          <w:rStyle w:val="VerbatimChar"/>
        </w:rPr>
        <w:t xml:space="preserve"> ggpubr       * 0.6.0    2023-02-10 [1] CRAN (R 4.5.0)</w:t>
      </w:r>
      <w:r>
        <w:br/>
      </w:r>
      <w:r>
        <w:rPr>
          <w:rStyle w:val="VerbatimChar"/>
        </w:rPr>
        <w:t xml:space="preserve"> ggrepel      * 0.9.6    2024-09-07 [1] CRAN (R 4.5.0)</w:t>
      </w:r>
      <w:r>
        <w:br/>
      </w:r>
      <w:r>
        <w:rPr>
          <w:rStyle w:val="VerbatimChar"/>
        </w:rPr>
        <w:t xml:space="preserve"> ggsignif       0.6.4    2022-10-13 [1] CRAN (R 4.5.0)</w:t>
      </w:r>
      <w:r>
        <w:br/>
      </w:r>
      <w:r>
        <w:rPr>
          <w:rStyle w:val="VerbatimChar"/>
        </w:rPr>
        <w:t xml:space="preserve"> ggtern       * 3.5.0    2024-03-24 [1] CRAN (R 4.5.0)</w:t>
      </w:r>
      <w:r>
        <w:br/>
      </w:r>
      <w:r>
        <w:rPr>
          <w:rStyle w:val="VerbatimChar"/>
        </w:rPr>
        <w:t xml:space="preserve"> glue           1.8.0    2024-09-30 [1] CRAN (R 4.5.0)</w:t>
      </w:r>
      <w:r>
        <w:br/>
      </w:r>
      <w:r>
        <w:rPr>
          <w:rStyle w:val="VerbatimChar"/>
        </w:rPr>
        <w:t xml:space="preserve"> gridExtra      2.3      2017-09-09 [1] CRAN (R 4.5.0)</w:t>
      </w:r>
      <w:r>
        <w:br/>
      </w:r>
      <w:r>
        <w:rPr>
          <w:rStyle w:val="VerbatimChar"/>
        </w:rPr>
        <w:t xml:space="preserve"> gridGraphics   0.5-1    2020-12-13 [1] CRAN (R 4.5.0)</w:t>
      </w:r>
      <w:r>
        <w:br/>
      </w:r>
      <w:r>
        <w:rPr>
          <w:rStyle w:val="VerbatimChar"/>
        </w:rPr>
        <w:t xml:space="preserve"> gtable         0.3.6    2024-10-25 [1] CRAN (R 4.5.0)</w:t>
      </w:r>
      <w:r>
        <w:br/>
      </w:r>
      <w:r>
        <w:rPr>
          <w:rStyle w:val="VerbatimChar"/>
        </w:rPr>
        <w:t xml:space="preserve"> here         * 1.0.1    2020-12-13 [1] CRAN (R 4.5.0)</w:t>
      </w:r>
      <w:r>
        <w:br/>
      </w:r>
      <w:r>
        <w:rPr>
          <w:rStyle w:val="VerbatimChar"/>
        </w:rPr>
        <w:t xml:space="preserve"> hexbin         1.28.5   2024-11-13 [1] CRAN (R 4.5.0)</w:t>
      </w:r>
      <w:r>
        <w:br/>
      </w:r>
      <w:r>
        <w:rPr>
          <w:rStyle w:val="VerbatimChar"/>
        </w:rPr>
        <w:t xml:space="preserve"> Hmisc        * 5.2-3    2025-03-16 [1] CRAN (R 4.5.0)</w:t>
      </w:r>
      <w:r>
        <w:br/>
      </w:r>
      <w:r>
        <w:rPr>
          <w:rStyle w:val="VerbatimChar"/>
        </w:rPr>
        <w:t xml:space="preserve"> hms            1.1.3    2023-03-21 [1] CRAN (R 4.5.0)</w:t>
      </w:r>
      <w:r>
        <w:br/>
      </w:r>
      <w:r>
        <w:rPr>
          <w:rStyle w:val="VerbatimChar"/>
        </w:rPr>
        <w:t xml:space="preserve"> htmlTable      2.4.3    2024-07-21 [1] CRAN (R 4.5.0)</w:t>
      </w:r>
      <w:r>
        <w:br/>
      </w:r>
      <w:r>
        <w:rPr>
          <w:rStyle w:val="VerbatimChar"/>
        </w:rPr>
        <w:t xml:space="preserve"> htmltools      0.5.8.1  2024-04-04 [1] CRAN (R 4.5.0)</w:t>
      </w:r>
      <w:r>
        <w:br/>
      </w:r>
      <w:r>
        <w:rPr>
          <w:rStyle w:val="VerbatimChar"/>
        </w:rPr>
        <w:t xml:space="preserve"> htmlwidgets    1.6.4    2023-12-06 [1] CRAN (R 4.5.0)</w:t>
      </w:r>
      <w:r>
        <w:br/>
      </w:r>
      <w:r>
        <w:rPr>
          <w:rStyle w:val="VerbatimChar"/>
        </w:rPr>
        <w:t xml:space="preserve"> httpuv         1.6.16   2025-04-16 [1] CRAN (R 4.5.0)</w:t>
      </w:r>
      <w:r>
        <w:br/>
      </w:r>
      <w:r>
        <w:rPr>
          <w:rStyle w:val="VerbatimChar"/>
        </w:rPr>
        <w:t xml:space="preserve"> jpeg           0.1-11   2025-03-21 [1] CRAN (R 4.5.0)</w:t>
      </w:r>
      <w:r>
        <w:br/>
      </w:r>
      <w:r>
        <w:rPr>
          <w:rStyle w:val="VerbatimChar"/>
        </w:rPr>
        <w:t xml:space="preserve"> jsonlite       2.0.0    2025-03-27 [1] CRAN (R 4.5.0)</w:t>
      </w:r>
      <w:r>
        <w:br/>
      </w:r>
      <w:r>
        <w:rPr>
          <w:rStyle w:val="VerbatimChar"/>
        </w:rPr>
        <w:t xml:space="preserve"> KernSmooth     2.23-26  2025-01-01 [1] CRAN (R 4.5.1)</w:t>
      </w:r>
      <w:r>
        <w:br/>
      </w:r>
      <w:r>
        <w:rPr>
          <w:rStyle w:val="VerbatimChar"/>
        </w:rPr>
        <w:t xml:space="preserve"> knitr          1.50     2025-03-16 [1] CRAN (R 4.5.0)</w:t>
      </w:r>
      <w:r>
        <w:br/>
      </w:r>
      <w:r>
        <w:rPr>
          <w:rStyle w:val="VerbatimChar"/>
        </w:rPr>
        <w:t xml:space="preserve"> labeling       0.4.3    2023-08-29 [1] CRAN (R 4.5.0)</w:t>
      </w:r>
      <w:r>
        <w:br/>
      </w:r>
      <w:r>
        <w:rPr>
          <w:rStyle w:val="VerbatimChar"/>
        </w:rPr>
        <w:t xml:space="preserve"> later          1.4.2    2025-04-08 [1] CRAN (R 4.5.0)</w:t>
      </w:r>
      <w:r>
        <w:br/>
      </w:r>
      <w:r>
        <w:rPr>
          <w:rStyle w:val="VerbatimChar"/>
        </w:rPr>
        <w:t xml:space="preserve"> latex2exp      0.9.6    2022-11-28 [1] CRAN (R 4.5.0)</w:t>
      </w:r>
      <w:r>
        <w:br/>
      </w:r>
      <w:r>
        <w:rPr>
          <w:rStyle w:val="VerbatimChar"/>
        </w:rPr>
        <w:t xml:space="preserve"> lattice        0.22-7   2025-04-02 [1] CRAN (R 4.5.1)</w:t>
      </w:r>
      <w:r>
        <w:br/>
      </w:r>
      <w:r>
        <w:rPr>
          <w:rStyle w:val="VerbatimChar"/>
        </w:rPr>
        <w:t xml:space="preserve"> lifecycle      1.0.4    2023-11-07 [1] CRAN (R 4.5.0)</w:t>
      </w:r>
      <w:r>
        <w:br/>
      </w:r>
      <w:r>
        <w:rPr>
          <w:rStyle w:val="VerbatimChar"/>
        </w:rPr>
        <w:t xml:space="preserve"> lubridate    * 1.9.4    2024-12-08 [1] CRAN (R 4.5.0)</w:t>
      </w:r>
      <w:r>
        <w:br/>
      </w:r>
      <w:r>
        <w:rPr>
          <w:rStyle w:val="VerbatimChar"/>
        </w:rPr>
        <w:t xml:space="preserve"> magick       * 2.8.7    2025-06-06 [1] CRAN (R 4.5.0)</w:t>
      </w:r>
      <w:r>
        <w:br/>
      </w:r>
      <w:r>
        <w:rPr>
          <w:rStyle w:val="VerbatimChar"/>
        </w:rPr>
        <w:t xml:space="preserve"> magrittr       2.0.3    2022-03-30 [1] CRAN (R 4.5.0)</w:t>
      </w:r>
      <w:r>
        <w:br/>
      </w:r>
      <w:r>
        <w:rPr>
          <w:rStyle w:val="VerbatimChar"/>
        </w:rPr>
        <w:t xml:space="preserve"> maps           3.4.2.1  2024-11-10 [1] CRAN (R 4.5.0)</w:t>
      </w:r>
      <w:r>
        <w:br/>
      </w:r>
      <w:r>
        <w:rPr>
          <w:rStyle w:val="VerbatimChar"/>
        </w:rPr>
        <w:t xml:space="preserve"> MASS           7.3-65   2025-02-28 [1] CRAN (R 4.5.1)</w:t>
      </w:r>
      <w:r>
        <w:br/>
      </w:r>
      <w:r>
        <w:rPr>
          <w:rStyle w:val="VerbatimChar"/>
        </w:rPr>
        <w:t xml:space="preserve"> Matrix         1.7-3    2025-03-11 [1] CRAN (R 4.5.1)</w:t>
      </w:r>
      <w:r>
        <w:br/>
      </w:r>
      <w:r>
        <w:rPr>
          <w:rStyle w:val="VerbatimChar"/>
        </w:rPr>
        <w:t xml:space="preserve"> memoise        2.0.1    2021-11-26 [1] CRAN (R 4.5.0)</w:t>
      </w:r>
      <w:r>
        <w:br/>
      </w:r>
      <w:r>
        <w:rPr>
          <w:rStyle w:val="VerbatimChar"/>
        </w:rPr>
        <w:t xml:space="preserve"> mgcv           1.9-3    2025-04-04 [1] CRAN (R 4.5.1)</w:t>
      </w:r>
      <w:r>
        <w:br/>
      </w:r>
      <w:r>
        <w:rPr>
          <w:rStyle w:val="VerbatimChar"/>
        </w:rPr>
        <w:t xml:space="preserve"> mime           0.13     2025-03-17 [1] CRAN (R 4.5.0)</w:t>
      </w:r>
      <w:r>
        <w:br/>
      </w:r>
      <w:r>
        <w:rPr>
          <w:rStyle w:val="VerbatimChar"/>
        </w:rPr>
        <w:t xml:space="preserve"> miniUI         0.1.2    2025-04-17 [1] CRAN (R 4.5.0)</w:t>
      </w:r>
      <w:r>
        <w:br/>
      </w:r>
      <w:r>
        <w:rPr>
          <w:rStyle w:val="VerbatimChar"/>
        </w:rPr>
        <w:t xml:space="preserve"> mvtnorm        1.3-3    2025-01-10 [1] CRAN (R 4.5.0)</w:t>
      </w:r>
      <w:r>
        <w:br/>
      </w:r>
      <w:r>
        <w:rPr>
          <w:rStyle w:val="VerbatimChar"/>
        </w:rPr>
        <w:t xml:space="preserve"> NISTunits    * 1.0.1    2016-08-11 [1] CRAN (R 4.5.0)</w:t>
      </w:r>
      <w:r>
        <w:br/>
      </w:r>
      <w:r>
        <w:rPr>
          <w:rStyle w:val="VerbatimChar"/>
        </w:rPr>
        <w:t xml:space="preserve"> nlme           3.1-168  2025-03-31 [1] CRAN (R 4.5.1)</w:t>
      </w:r>
      <w:r>
        <w:br/>
      </w:r>
      <w:r>
        <w:rPr>
          <w:rStyle w:val="VerbatimChar"/>
        </w:rPr>
        <w:t xml:space="preserve"> nnet           7.3-20   2025-01-01 [1] CRAN (R 4.5.1)</w:t>
      </w:r>
      <w:r>
        <w:br/>
      </w:r>
      <w:r>
        <w:rPr>
          <w:rStyle w:val="VerbatimChar"/>
        </w:rPr>
        <w:t xml:space="preserve"> pillar         1.10.2   2025-04-05 [1] CRAN (R 4.5.0)</w:t>
      </w:r>
      <w:r>
        <w:br/>
      </w:r>
      <w:r>
        <w:rPr>
          <w:rStyle w:val="VerbatimChar"/>
        </w:rPr>
        <w:t xml:space="preserve"> pkgbuild       1.4.7    2025-03-24 [1] CRAN (R 4.5.0)</w:t>
      </w:r>
      <w:r>
        <w:br/>
      </w:r>
      <w:r>
        <w:rPr>
          <w:rStyle w:val="VerbatimChar"/>
        </w:rPr>
        <w:t xml:space="preserve"> pkgconfig      2.0.3    2019-09-22 [1] CRAN (R 4.5.0)</w:t>
      </w:r>
      <w:r>
        <w:br/>
      </w:r>
      <w:r>
        <w:rPr>
          <w:rStyle w:val="VerbatimChar"/>
        </w:rPr>
        <w:t xml:space="preserve"> pkgload        1.4.0    2024-06-28 [1] CRAN (R 4.5.0)</w:t>
      </w:r>
      <w:r>
        <w:br/>
      </w:r>
      <w:r>
        <w:rPr>
          <w:rStyle w:val="VerbatimChar"/>
        </w:rPr>
        <w:t xml:space="preserve"> plyr           1.8.9    2023-10-02 [1] CRAN (R 4.5.0)</w:t>
      </w:r>
      <w:r>
        <w:br/>
      </w:r>
      <w:r>
        <w:rPr>
          <w:rStyle w:val="VerbatimChar"/>
        </w:rPr>
        <w:t xml:space="preserve"> png            0.1-8    2022-11-29 [1] CRAN (R 4.5.0)</w:t>
      </w:r>
      <w:r>
        <w:br/>
      </w:r>
      <w:r>
        <w:rPr>
          <w:rStyle w:val="VerbatimChar"/>
        </w:rPr>
        <w:t xml:space="preserve"> polyclip       1.10-7   2024-07-23 [1] CRAN (R 4.5.0)</w:t>
      </w:r>
      <w:r>
        <w:br/>
      </w:r>
      <w:r>
        <w:rPr>
          <w:rStyle w:val="VerbatimChar"/>
        </w:rPr>
        <w:t xml:space="preserve"> profvis        0.4.0    2024-09-20 [1] CRAN (R 4.5.0)</w:t>
      </w:r>
      <w:r>
        <w:br/>
      </w:r>
      <w:r>
        <w:rPr>
          <w:rStyle w:val="VerbatimChar"/>
        </w:rPr>
        <w:t xml:space="preserve"> proj4          1.0-15   2025-03-21 [1] CRAN (R 4.5.0)</w:t>
      </w:r>
      <w:r>
        <w:br/>
      </w:r>
      <w:r>
        <w:rPr>
          <w:rStyle w:val="VerbatimChar"/>
        </w:rPr>
        <w:t xml:space="preserve"> promises       1.3.2    2024-11-28 [1] CRAN (R 4.5.0)</w:t>
      </w:r>
      <w:r>
        <w:br/>
      </w:r>
      <w:r>
        <w:rPr>
          <w:rStyle w:val="VerbatimChar"/>
        </w:rPr>
        <w:t xml:space="preserve"> proto          1.0.0    2016-10-29 [1] CRAN (R 4.5.0)</w:t>
      </w:r>
      <w:r>
        <w:br/>
      </w:r>
      <w:r>
        <w:rPr>
          <w:rStyle w:val="VerbatimChar"/>
        </w:rPr>
        <w:t xml:space="preserve"> purrr        * 1.0.4    2025-02-05 [1] CRAN (R 4.5.0)</w:t>
      </w:r>
      <w:r>
        <w:br/>
      </w:r>
      <w:r>
        <w:rPr>
          <w:rStyle w:val="VerbatimChar"/>
        </w:rPr>
        <w:t xml:space="preserve"> R6             2.6.1    2025-02-15 [1] CRAN (R 4.5.0)</w:t>
      </w:r>
      <w:r>
        <w:br/>
      </w:r>
      <w:r>
        <w:rPr>
          <w:rStyle w:val="VerbatimChar"/>
        </w:rPr>
        <w:t xml:space="preserve"> rappdirs       0.3.3    2021-01-31 [1] CRAN (R 4.5.0)</w:t>
      </w:r>
      <w:r>
        <w:br/>
      </w:r>
      <w:r>
        <w:rPr>
          <w:rStyle w:val="VerbatimChar"/>
        </w:rPr>
        <w:t xml:space="preserve"> RColorBrewer   1.1-3    2022-04-03 [1] CRAN (R 4.5.0)</w:t>
      </w:r>
      <w:r>
        <w:br/>
      </w:r>
      <w:r>
        <w:rPr>
          <w:rStyle w:val="VerbatimChar"/>
        </w:rPr>
        <w:t xml:space="preserve"> Rcpp           1.1.0    2025-07-02 [1] CRAN (R 4.5.0)</w:t>
      </w:r>
      <w:r>
        <w:br/>
      </w:r>
      <w:r>
        <w:rPr>
          <w:rStyle w:val="VerbatimChar"/>
        </w:rPr>
        <w:t xml:space="preserve"> readr        * 2.1.5    2024-01-10 [1] CRAN (R 4.5.0)</w:t>
      </w:r>
      <w:r>
        <w:br/>
      </w:r>
      <w:r>
        <w:rPr>
          <w:rStyle w:val="VerbatimChar"/>
        </w:rPr>
        <w:t xml:space="preserve"> readxl       * 1.4.5    2025-03-07 [1] CRAN (R 4.5.0)</w:t>
      </w:r>
      <w:r>
        <w:br/>
      </w:r>
      <w:r>
        <w:rPr>
          <w:rStyle w:val="VerbatimChar"/>
        </w:rPr>
        <w:t xml:space="preserve"> remotes        2.5.0    2024-03-17 [1] CRAN (R 4.5.0)</w:t>
      </w:r>
      <w:r>
        <w:br/>
      </w:r>
      <w:r>
        <w:rPr>
          <w:rStyle w:val="VerbatimChar"/>
        </w:rPr>
        <w:t xml:space="preserve"> reshape2     * 1.4.4    2020-04-09 [1] CRAN (R 4.5.0)</w:t>
      </w:r>
      <w:r>
        <w:br/>
      </w:r>
      <w:r>
        <w:rPr>
          <w:rStyle w:val="VerbatimChar"/>
        </w:rPr>
        <w:t xml:space="preserve"> rlang          1.1.6    2025-04-11 [1] CRAN (R 4.5.0)</w:t>
      </w:r>
      <w:r>
        <w:br/>
      </w:r>
      <w:r>
        <w:rPr>
          <w:rStyle w:val="VerbatimChar"/>
        </w:rPr>
        <w:t xml:space="preserve"> rmarkdown      2.29     2024-11-04 [1] CRAN (R 4.5.0)</w:t>
      </w:r>
      <w:r>
        <w:br/>
      </w:r>
      <w:r>
        <w:rPr>
          <w:rStyle w:val="VerbatimChar"/>
        </w:rPr>
        <w:t xml:space="preserve"> robustbase     0.99-4-1 2024-09-27 [1] CRAN (R 4.5.0)</w:t>
      </w:r>
      <w:r>
        <w:br/>
      </w:r>
      <w:r>
        <w:rPr>
          <w:rStyle w:val="VerbatimChar"/>
        </w:rPr>
        <w:t xml:space="preserve"> rpart          4.1.24   2025-01-07 [1] CRAN (R 4.5.1)</w:t>
      </w:r>
      <w:r>
        <w:br/>
      </w:r>
      <w:r>
        <w:rPr>
          <w:rStyle w:val="VerbatimChar"/>
        </w:rPr>
        <w:t xml:space="preserve"> rprojroot      2.0.4    2023-11-05 [1] CRAN (R 4.5.0)</w:t>
      </w:r>
      <w:r>
        <w:br/>
      </w:r>
      <w:r>
        <w:rPr>
          <w:rStyle w:val="VerbatimChar"/>
        </w:rPr>
        <w:t xml:space="preserve"> rstatix        0.7.2    2023-02-01 [1] CRAN (R 4.5.0)</w:t>
      </w:r>
      <w:r>
        <w:br/>
      </w:r>
      <w:r>
        <w:rPr>
          <w:rStyle w:val="VerbatimChar"/>
        </w:rPr>
        <w:t xml:space="preserve"> rstudioapi     0.17.1   2024-10-22 [1] CRAN (R 4.5.0)</w:t>
      </w:r>
      <w:r>
        <w:br/>
      </w:r>
      <w:r>
        <w:rPr>
          <w:rStyle w:val="VerbatimChar"/>
        </w:rPr>
        <w:t xml:space="preserve"> Rttf2pt1       1.3.12   2023-01-22 [1] CRAN (R 4.5.0)</w:t>
      </w:r>
      <w:r>
        <w:br/>
      </w:r>
      <w:r>
        <w:rPr>
          <w:rStyle w:val="VerbatimChar"/>
        </w:rPr>
        <w:t xml:space="preserve"> scales         1.4.0    2025-04-24 [1] CRAN (R 4.5.0)</w:t>
      </w:r>
      <w:r>
        <w:br/>
      </w:r>
      <w:r>
        <w:rPr>
          <w:rStyle w:val="VerbatimChar"/>
        </w:rPr>
        <w:t xml:space="preserve"> sessioninfo    1.2.3    2025-02-05 [1] CRAN (R 4.5.0)</w:t>
      </w:r>
      <w:r>
        <w:br/>
      </w:r>
      <w:r>
        <w:rPr>
          <w:rStyle w:val="VerbatimChar"/>
        </w:rPr>
        <w:t xml:space="preserve"> shiny          1.10.0   2024-12-14 [1] CRAN (R 4.5.0)</w:t>
      </w:r>
      <w:r>
        <w:br/>
      </w:r>
      <w:r>
        <w:rPr>
          <w:rStyle w:val="VerbatimChar"/>
        </w:rPr>
        <w:t xml:space="preserve"> stringi        1.8.7    2025-03-27 [1] CRAN (R 4.5.0)</w:t>
      </w:r>
      <w:r>
        <w:br/>
      </w:r>
      <w:r>
        <w:rPr>
          <w:rStyle w:val="VerbatimChar"/>
        </w:rPr>
        <w:t xml:space="preserve"> stringr      * 1.5.1    2023-11-14 [1] CRAN (R 4.5.0)</w:t>
      </w:r>
      <w:r>
        <w:br/>
      </w:r>
      <w:r>
        <w:rPr>
          <w:rStyle w:val="VerbatimChar"/>
        </w:rPr>
        <w:t xml:space="preserve"> tensorA        0.36.2.1 2023-12-13 [1] CRAN (R 4.5.0)</w:t>
      </w:r>
      <w:r>
        <w:br/>
      </w:r>
      <w:r>
        <w:rPr>
          <w:rStyle w:val="VerbatimChar"/>
        </w:rPr>
        <w:t xml:space="preserve"> tibble       * 3.2.1    2023-03-20 [1] CRAN (R 4.5.0)</w:t>
      </w:r>
      <w:r>
        <w:br/>
      </w:r>
      <w:r>
        <w:rPr>
          <w:rStyle w:val="VerbatimChar"/>
        </w:rPr>
        <w:t xml:space="preserve"> tidyr        * 1.3.1    2024-01-24 [1] CRAN (R 4.5.0)</w:t>
      </w:r>
      <w:r>
        <w:br/>
      </w:r>
      <w:r>
        <w:rPr>
          <w:rStyle w:val="VerbatimChar"/>
        </w:rPr>
        <w:t xml:space="preserve"> tidyselect     1.2.1    2024-03-11 [1] CRAN (R 4.5.0)</w:t>
      </w:r>
      <w:r>
        <w:br/>
      </w:r>
      <w:r>
        <w:rPr>
          <w:rStyle w:val="VerbatimChar"/>
        </w:rPr>
        <w:t xml:space="preserve"> tidyverse    * 2.0.0    2023-02-22 [1] CRAN (R 4.5.0)</w:t>
      </w:r>
      <w:r>
        <w:br/>
      </w:r>
      <w:r>
        <w:rPr>
          <w:rStyle w:val="VerbatimChar"/>
        </w:rPr>
        <w:t xml:space="preserve"> timechange     0.3.0    2024-01-18 [1] CRAN (R 4.5.0)</w:t>
      </w:r>
      <w:r>
        <w:br/>
      </w:r>
      <w:r>
        <w:rPr>
          <w:rStyle w:val="VerbatimChar"/>
        </w:rPr>
        <w:t xml:space="preserve"> tweenr         2.0.3    2024-02-26 [1] CRAN (R 4.5.0)</w:t>
      </w:r>
      <w:r>
        <w:br/>
      </w:r>
      <w:r>
        <w:rPr>
          <w:rStyle w:val="VerbatimChar"/>
        </w:rPr>
        <w:t xml:space="preserve"> tzdb           0.5.0    2025-03-15 [1] CRAN (R 4.5.0)</w:t>
      </w:r>
      <w:r>
        <w:br/>
      </w:r>
      <w:r>
        <w:rPr>
          <w:rStyle w:val="VerbatimChar"/>
        </w:rPr>
        <w:t xml:space="preserve"> urlchecker     1.0.1    2021-11-30 [1] CRAN (R 4.5.0)</w:t>
      </w:r>
      <w:r>
        <w:br/>
      </w:r>
      <w:r>
        <w:rPr>
          <w:rStyle w:val="VerbatimChar"/>
        </w:rPr>
        <w:t xml:space="preserve"> usethis        3.1.0    2024-11-26 [1] CRAN (R 4.5.0)</w:t>
      </w:r>
      <w:r>
        <w:br/>
      </w:r>
      <w:r>
        <w:rPr>
          <w:rStyle w:val="VerbatimChar"/>
        </w:rPr>
        <w:t xml:space="preserve"> utf8           1.2.5    2025-05-01 [1] CRAN (R 4.5.0)</w:t>
      </w:r>
      <w:r>
        <w:br/>
      </w:r>
      <w:r>
        <w:rPr>
          <w:rStyle w:val="VerbatimChar"/>
        </w:rPr>
        <w:t xml:space="preserve"> vctrs          0.6.5    2023-12-01 [1] CRAN (R 4.5.0)</w:t>
      </w:r>
      <w:r>
        <w:br/>
      </w:r>
      <w:r>
        <w:rPr>
          <w:rStyle w:val="VerbatimChar"/>
        </w:rPr>
        <w:t xml:space="preserve"> vroom          1.6.5    2023-12-05 [1] CRAN (R 4.5.0)</w:t>
      </w:r>
      <w:r>
        <w:br/>
      </w:r>
      <w:r>
        <w:rPr>
          <w:rStyle w:val="VerbatimChar"/>
        </w:rPr>
        <w:t xml:space="preserve"> withr          3.0.2    2024-10-28 [1] CRAN (R 4.5.0)</w:t>
      </w:r>
      <w:r>
        <w:br/>
      </w:r>
      <w:r>
        <w:rPr>
          <w:rStyle w:val="VerbatimChar"/>
        </w:rPr>
        <w:t xml:space="preserve"> xfun           0.52     2025-04-02 [1] CRAN (R 4.5.0)</w:t>
      </w:r>
      <w:r>
        <w:br/>
      </w:r>
      <w:r>
        <w:rPr>
          <w:rStyle w:val="VerbatimChar"/>
        </w:rPr>
        <w:t xml:space="preserve"> xtable         1.8-4    2019-04-21 [1] CRAN (R 4.5.0)</w:t>
      </w:r>
      <w:r>
        <w:br/>
      </w:r>
      <w:r>
        <w:rPr>
          <w:rStyle w:val="VerbatimChar"/>
        </w:rPr>
        <w:t xml:space="preserve"> yaml           2.3.10   2024-07-26 [1] CRAN (R 4.5.0)</w:t>
      </w:r>
      <w:r>
        <w:br/>
      </w:r>
      <w:r>
        <w:rPr>
          <w:rStyle w:val="VerbatimChar"/>
        </w:rPr>
        <w:t xml:space="preserve"> yulab.utils    0.2.1    2025-08-19 [1] CRAN (R 4.5.0)</w:t>
      </w:r>
      <w:r>
        <w:br/>
      </w:r>
      <w:r>
        <w:br/>
      </w:r>
      <w:r>
        <w:rPr>
          <w:rStyle w:val="VerbatimChar"/>
        </w:rPr>
        <w:t xml:space="preserve"> [1] /Library/Frameworks/R.framework/Versions/4.5-arm64/Resources/library</w:t>
      </w:r>
      <w:r>
        <w:br/>
      </w:r>
      <w:r>
        <w:rPr>
          <w:rStyle w:val="VerbatimChar"/>
        </w:rPr>
        <w:t xml:space="preserve"> * ── Packages attached to the search path.</w:t>
      </w:r>
      <w:r>
        <w:br/>
      </w:r>
      <w:r>
        <w:br/>
      </w:r>
      <w:r>
        <w:rPr>
          <w:rStyle w:val="VerbatimChar"/>
        </w:rPr>
        <w:t xml:space="preserve">──────────────────────────────────────────────────────────────────────────────</w:t>
      </w:r>
    </w:p>
    <w:p>
      <w:pPr>
        <w:pStyle w:val="FirstParagraph"/>
      </w:pPr>
      <w:r>
        <w:t xml:space="preserve">The current Git commit details are:</w:t>
      </w:r>
    </w:p>
    <w:p>
      <w:pPr>
        <w:pStyle w:val="SourceCode"/>
      </w:pPr>
      <w:r>
        <w:rPr>
          <w:rStyle w:val="CommentTok"/>
        </w:rPr>
        <w:t xml:space="preserve"># what commit is this file at? </w:t>
      </w:r>
      <w:r>
        <w:br/>
      </w:r>
      <w:r>
        <w:rPr>
          <w:rStyle w:val="ControlFlowTok"/>
        </w:rPr>
        <w:t xml:space="preserve">if</w:t>
      </w:r>
      <w:r>
        <w:rPr>
          <w:rStyle w:val="NormalTok"/>
        </w:rPr>
        <w:t xml:space="preserve"> (</w:t>
      </w:r>
      <w:r>
        <w:rPr>
          <w:rStyle w:val="StringTok"/>
        </w:rPr>
        <w:t xml:space="preserve">"git2r"</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w:t>
      </w:r>
      <w:r>
        <w:rPr>
          <w:rStyle w:val="SpecialCharTok"/>
        </w:rPr>
        <w:t xml:space="preserve">&amp;</w:t>
      </w:r>
      <w:r>
        <w:rPr>
          <w:rStyle w:val="NormalTok"/>
        </w:rPr>
        <w:t xml:space="preserve"> git2r</w:t>
      </w:r>
      <w:r>
        <w:rPr>
          <w:rStyle w:val="SpecialCharTok"/>
        </w:rPr>
        <w:t xml:space="preserve">::</w:t>
      </w:r>
      <w:r>
        <w:rPr>
          <w:rStyle w:val="FunctionTok"/>
        </w:rPr>
        <w:t xml:space="preserve">in_repository</w:t>
      </w:r>
      <w:r>
        <w:rPr>
          <w:rStyle w:val="NormalTok"/>
        </w:rPr>
        <w:t xml:space="preserve">(</w:t>
      </w:r>
      <w:r>
        <w:rPr>
          <w:rStyle w:val="AttributeTok"/>
        </w:rPr>
        <w:t xml:space="preserve">path =</w:t>
      </w:r>
      <w:r>
        <w:rPr>
          <w:rStyle w:val="NormalTok"/>
        </w:rPr>
        <w:t xml:space="preserve"> </w:t>
      </w:r>
      <w:r>
        <w:rPr>
          <w:rStyle w:val="StringTok"/>
        </w:rPr>
        <w:t xml:space="preserve">"."</w:t>
      </w:r>
      <w:r>
        <w:rPr>
          <w:rStyle w:val="NormalTok"/>
        </w:rPr>
        <w:t xml:space="preserve">)) git2r</w:t>
      </w:r>
      <w:r>
        <w:rPr>
          <w:rStyle w:val="SpecialCharTok"/>
        </w:rPr>
        <w:t xml:space="preserve">::</w:t>
      </w:r>
      <w:r>
        <w:rPr>
          <w:rStyle w:val="FunctionTok"/>
        </w:rPr>
        <w:t xml:space="preserve">repository</w:t>
      </w:r>
      <w:r>
        <w:rPr>
          <w:rStyle w:val="NormalTok"/>
        </w:rPr>
        <w:t xml:space="preserve">(here</w:t>
      </w:r>
      <w:r>
        <w:rPr>
          <w:rStyle w:val="SpecialCharTok"/>
        </w:rPr>
        <w:t xml:space="preserve">::</w:t>
      </w:r>
      <w:r>
        <w:rPr>
          <w:rStyle w:val="FunctionTok"/>
        </w:rPr>
        <w:t xml:space="preserve">here</w:t>
      </w:r>
      <w:r>
        <w:rPr>
          <w:rStyle w:val="NormalTok"/>
        </w:rPr>
        <w:t xml:space="preserve">())  </w:t>
      </w:r>
    </w:p>
    <w:p>
      <w:pPr>
        <w:pStyle w:val="SourceCode"/>
      </w:pPr>
      <w:r>
        <w:rPr>
          <w:rStyle w:val="VerbatimChar"/>
        </w:rPr>
        <w:t xml:space="preserve">Local:    main /Users/bmarwick/Downloads/QSY-Spheroids-Study</w:t>
      </w:r>
      <w:r>
        <w:br/>
      </w:r>
      <w:r>
        <w:rPr>
          <w:rStyle w:val="VerbatimChar"/>
        </w:rPr>
        <w:t xml:space="preserve">Remote:   main @ origin (https://github.com/zhiye0927/QSY-Spheroids-Study)</w:t>
      </w:r>
      <w:r>
        <w:br/>
      </w:r>
      <w:r>
        <w:rPr>
          <w:rStyle w:val="VerbatimChar"/>
        </w:rPr>
        <w:t xml:space="preserve">Head:     [95d99fb] 2025-09-25: resolve merge conflict</w:t>
      </w:r>
    </w:p>
    <w:bookmarkEnd w:id="224"/>
    <w:bookmarkEnd w:id="22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27" Target="media/rId27.png" /><Relationship Type="http://schemas.openxmlformats.org/officeDocument/2006/relationships/image" Id="rId69" Target="media/rId69.jp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hyperlink" Id="rId205"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6"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19" Target="https://doi.org/10.1038/35096551" TargetMode="External" /><Relationship Type="http://schemas.openxmlformats.org/officeDocument/2006/relationships/hyperlink" Id="rId221"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7"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8"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8"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0"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3"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205" Target="https://doi.org/10.1002/evan.21813" TargetMode="External" /><Relationship Type="http://schemas.openxmlformats.org/officeDocument/2006/relationships/hyperlink" Id="rId173" Target="https://doi.org/10.1006/jasc.1996.0152" TargetMode="External" /><Relationship Type="http://schemas.openxmlformats.org/officeDocument/2006/relationships/hyperlink" Id="rId186" Target="https://doi.org/10.1007/s10816-017-9339-x" TargetMode="External" /><Relationship Type="http://schemas.openxmlformats.org/officeDocument/2006/relationships/hyperlink" Id="rId94" Target="https://doi.org/10.1007/s12520-024-02138-7" TargetMode="External" /><Relationship Type="http://schemas.openxmlformats.org/officeDocument/2006/relationships/hyperlink" Id="rId126" Target="https://doi.org/10.1007/s12520-025-02199-2" TargetMode="External" /><Relationship Type="http://schemas.openxmlformats.org/officeDocument/2006/relationships/hyperlink" Id="rId102" Target="https://doi.org/10.1007/s41982-024-00195-x" TargetMode="External" /><Relationship Type="http://schemas.openxmlformats.org/officeDocument/2006/relationships/hyperlink" Id="rId158" Target="https://doi.org/10.1016/j.jaa.2004.12.001" TargetMode="External" /><Relationship Type="http://schemas.openxmlformats.org/officeDocument/2006/relationships/hyperlink" Id="rId154" Target="https://doi.org/10.1016/j.jas.2012.11.005" TargetMode="External" /><Relationship Type="http://schemas.openxmlformats.org/officeDocument/2006/relationships/hyperlink" Id="rId167" Target="https://doi.org/10.1016/j.palaeo.2019.05.014" TargetMode="External" /><Relationship Type="http://schemas.openxmlformats.org/officeDocument/2006/relationships/hyperlink" Id="rId163" Target="https://doi.org/10.1016/j.quaint.2025.109681" TargetMode="External" /><Relationship Type="http://schemas.openxmlformats.org/officeDocument/2006/relationships/hyperlink" Id="rId219" Target="https://doi.org/10.1038/35096551" TargetMode="External" /><Relationship Type="http://schemas.openxmlformats.org/officeDocument/2006/relationships/hyperlink" Id="rId221" Target="https://doi.org/10.1038/nature02829" TargetMode="External" /><Relationship Type="http://schemas.openxmlformats.org/officeDocument/2006/relationships/hyperlink" Id="rId124" Target="https://doi.org/10.1038/s41598-021-04181-z" TargetMode="External" /><Relationship Type="http://schemas.openxmlformats.org/officeDocument/2006/relationships/hyperlink" Id="rId98" Target="https://doi.org/10.1073/pnas.1221285110" TargetMode="External" /><Relationship Type="http://schemas.openxmlformats.org/officeDocument/2006/relationships/hyperlink" Id="rId100" Target="https://doi.org/10.1073/pnas.1820177116" TargetMode="External" /><Relationship Type="http://schemas.openxmlformats.org/officeDocument/2006/relationships/hyperlink" Id="rId197" Target="https://doi.org/10.1080/00438243.1985.9979949" TargetMode="External" /><Relationship Type="http://schemas.openxmlformats.org/officeDocument/2006/relationships/hyperlink" Id="rId161" Target="https://doi.org/10.1080/01977261.2022.2103290" TargetMode="External" /><Relationship Type="http://schemas.openxmlformats.org/officeDocument/2006/relationships/hyperlink" Id="rId112" Target="https://doi.org/10.1086/422079" TargetMode="External" /><Relationship Type="http://schemas.openxmlformats.org/officeDocument/2006/relationships/hyperlink" Id="rId188" Target="https://doi.org/10.1086/624298" TargetMode="External" /><Relationship Type="http://schemas.openxmlformats.org/officeDocument/2006/relationships/hyperlink" Id="rId106" Target="https://doi.org/10.1111/arcm.13106" TargetMode="External" /><Relationship Type="http://schemas.openxmlformats.org/officeDocument/2006/relationships/hyperlink" Id="rId129" Target="https://doi.org/10.1242/dev.202251" TargetMode="External" /><Relationship Type="http://schemas.openxmlformats.org/officeDocument/2006/relationships/hyperlink" Id="rId179" Target="https://doi.org/10.1371/journal.pone.0121804" TargetMode="External" /><Relationship Type="http://schemas.openxmlformats.org/officeDocument/2006/relationships/hyperlink" Id="rId208" Target="https://doi.org/10.1371/journal.pone.0185101" TargetMode="External" /><Relationship Type="http://schemas.openxmlformats.org/officeDocument/2006/relationships/hyperlink" Id="rId171" Target="https://doi.org/10.1371/journal.pone.0187251" TargetMode="External" /><Relationship Type="http://schemas.openxmlformats.org/officeDocument/2006/relationships/hyperlink" Id="rId184" Target="https://doi.org/10.1371/journal.pone.0228290" TargetMode="External" /><Relationship Type="http://schemas.openxmlformats.org/officeDocument/2006/relationships/hyperlink" Id="rId104" Target="https://doi.org/10.1371/journal.pone.0272135" TargetMode="External" /><Relationship Type="http://schemas.openxmlformats.org/officeDocument/2006/relationships/hyperlink" Id="rId210" Target="https://doi.org/10.17504/protocols.io.rm7vz1dj8lx1/v1" TargetMode="External" /><Relationship Type="http://schemas.openxmlformats.org/officeDocument/2006/relationships/hyperlink" Id="rId115" Target="https://doi.org/10.2218/jls.v4i1.1682" TargetMode="External" /><Relationship Type="http://schemas.openxmlformats.org/officeDocument/2006/relationships/hyperlink" Id="rId120" Target="https://doi.org/10.2307/2694247" TargetMode="External" /><Relationship Type="http://schemas.openxmlformats.org/officeDocument/2006/relationships/hyperlink" Id="rId213"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2025-09-25T20:12:02Z</dcterms:created>
  <dcterms:modified xsi:type="dcterms:W3CDTF">2025-09-25T20:12:02Z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September 25, 2025</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